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0" w:type="dxa"/>
        <w:tblLook w:val="04A0" w:firstRow="1" w:lastRow="0" w:firstColumn="1" w:lastColumn="0" w:noHBand="0" w:noVBand="1"/>
      </w:tblPr>
      <w:tblGrid>
        <w:gridCol w:w="2120"/>
        <w:gridCol w:w="6890"/>
      </w:tblGrid>
      <w:tr w:rsidR="00D870D8" w14:paraId="2F41598A" w14:textId="77777777" w:rsidTr="34B46CAC">
        <w:tc>
          <w:tcPr>
            <w:tcW w:w="2120" w:type="dxa"/>
            <w:shd w:val="clear" w:color="auto" w:fill="auto"/>
          </w:tcPr>
          <w:p w14:paraId="48385868" w14:textId="77777777" w:rsidR="00D870D8" w:rsidRDefault="00647D12">
            <w:pPr>
              <w:rPr>
                <w:b/>
                <w:sz w:val="22"/>
                <w:szCs w:val="22"/>
              </w:rPr>
            </w:pPr>
            <w:r>
              <w:rPr>
                <w:b/>
                <w:sz w:val="22"/>
                <w:szCs w:val="22"/>
              </w:rPr>
              <w:t>Care Home Name:</w:t>
            </w:r>
          </w:p>
        </w:tc>
        <w:tc>
          <w:tcPr>
            <w:tcW w:w="6889" w:type="dxa"/>
            <w:shd w:val="clear" w:color="auto" w:fill="auto"/>
          </w:tcPr>
          <w:p w14:paraId="6F2EC71D" w14:textId="77777777" w:rsidR="00D870D8" w:rsidRDefault="00647D12">
            <w:pPr>
              <w:rPr>
                <w:sz w:val="22"/>
                <w:szCs w:val="22"/>
              </w:rPr>
            </w:pPr>
            <w:r>
              <w:rPr>
                <w:sz w:val="22"/>
                <w:szCs w:val="22"/>
              </w:rPr>
              <w:t xml:space="preserve">Parkview House Care Home  </w:t>
            </w:r>
          </w:p>
          <w:p w14:paraId="672A6659" w14:textId="77777777" w:rsidR="00D870D8" w:rsidRDefault="00D870D8">
            <w:pPr>
              <w:rPr>
                <w:sz w:val="22"/>
                <w:szCs w:val="22"/>
              </w:rPr>
            </w:pPr>
          </w:p>
        </w:tc>
      </w:tr>
      <w:tr w:rsidR="00D870D8" w14:paraId="1B1E4D01" w14:textId="77777777" w:rsidTr="34B46CAC">
        <w:tc>
          <w:tcPr>
            <w:tcW w:w="2120" w:type="dxa"/>
            <w:shd w:val="clear" w:color="auto" w:fill="auto"/>
          </w:tcPr>
          <w:p w14:paraId="000CBDFC" w14:textId="77777777" w:rsidR="00D870D8" w:rsidRDefault="00647D12">
            <w:pPr>
              <w:rPr>
                <w:b/>
                <w:sz w:val="22"/>
                <w:szCs w:val="22"/>
              </w:rPr>
            </w:pPr>
            <w:r>
              <w:rPr>
                <w:b/>
                <w:sz w:val="22"/>
                <w:szCs w:val="22"/>
              </w:rPr>
              <w:t>Provider Name:</w:t>
            </w:r>
          </w:p>
        </w:tc>
        <w:tc>
          <w:tcPr>
            <w:tcW w:w="6889" w:type="dxa"/>
            <w:shd w:val="clear" w:color="auto" w:fill="auto"/>
          </w:tcPr>
          <w:p w14:paraId="581DF7A4" w14:textId="6F860EB0" w:rsidR="00D870D8" w:rsidRDefault="00647D12">
            <w:r w:rsidRPr="34B46CAC">
              <w:rPr>
                <w:rFonts w:eastAsiaTheme="minorEastAsia"/>
                <w:sz w:val="22"/>
                <w:szCs w:val="22"/>
              </w:rPr>
              <w:t>Maria Mallaband Care Group Limited</w:t>
            </w:r>
          </w:p>
          <w:p w14:paraId="0A37501D" w14:textId="77777777" w:rsidR="00D870D8" w:rsidRDefault="00D870D8">
            <w:pPr>
              <w:rPr>
                <w:sz w:val="22"/>
                <w:szCs w:val="22"/>
              </w:rPr>
            </w:pPr>
          </w:p>
        </w:tc>
      </w:tr>
      <w:tr w:rsidR="00D870D8" w14:paraId="0A11FF4C" w14:textId="77777777" w:rsidTr="34B46CAC">
        <w:tc>
          <w:tcPr>
            <w:tcW w:w="2120" w:type="dxa"/>
            <w:shd w:val="clear" w:color="auto" w:fill="auto"/>
          </w:tcPr>
          <w:p w14:paraId="04A8C1ED" w14:textId="77777777" w:rsidR="00D870D8" w:rsidRDefault="00647D12">
            <w:pPr>
              <w:rPr>
                <w:b/>
                <w:sz w:val="22"/>
                <w:szCs w:val="22"/>
              </w:rPr>
            </w:pPr>
            <w:r>
              <w:rPr>
                <w:b/>
                <w:sz w:val="22"/>
                <w:szCs w:val="22"/>
              </w:rPr>
              <w:t>Provider Address:</w:t>
            </w:r>
          </w:p>
        </w:tc>
        <w:tc>
          <w:tcPr>
            <w:tcW w:w="6889" w:type="dxa"/>
            <w:shd w:val="clear" w:color="auto" w:fill="auto"/>
          </w:tcPr>
          <w:p w14:paraId="3C2764B2" w14:textId="0957863F" w:rsidR="00D870D8" w:rsidRDefault="00647D12" w:rsidP="34B46CAC">
            <w:pPr>
              <w:rPr>
                <w:sz w:val="22"/>
                <w:szCs w:val="22"/>
              </w:rPr>
            </w:pPr>
            <w:r w:rsidRPr="34B46CAC">
              <w:rPr>
                <w:rFonts w:eastAsiaTheme="minorEastAsia"/>
                <w:sz w:val="22"/>
                <w:szCs w:val="22"/>
              </w:rPr>
              <w:t xml:space="preserve">Westcourt, Gelderd Road, Leeds, LS12 6DB </w:t>
            </w:r>
          </w:p>
          <w:p w14:paraId="5DAB6C7B" w14:textId="77777777" w:rsidR="00D870D8" w:rsidRDefault="00D870D8">
            <w:pPr>
              <w:rPr>
                <w:sz w:val="22"/>
                <w:szCs w:val="22"/>
              </w:rPr>
            </w:pPr>
          </w:p>
        </w:tc>
      </w:tr>
      <w:tr w:rsidR="00D870D8" w14:paraId="0276F93A" w14:textId="77777777" w:rsidTr="34B46CAC">
        <w:tc>
          <w:tcPr>
            <w:tcW w:w="2120" w:type="dxa"/>
            <w:shd w:val="clear" w:color="auto" w:fill="auto"/>
          </w:tcPr>
          <w:p w14:paraId="3101716D" w14:textId="77777777" w:rsidR="00D870D8" w:rsidRDefault="00647D12">
            <w:pPr>
              <w:rPr>
                <w:b/>
                <w:sz w:val="22"/>
                <w:szCs w:val="22"/>
              </w:rPr>
            </w:pPr>
            <w:r>
              <w:rPr>
                <w:b/>
                <w:sz w:val="22"/>
                <w:szCs w:val="22"/>
              </w:rPr>
              <w:t>Date:</w:t>
            </w:r>
          </w:p>
        </w:tc>
        <w:tc>
          <w:tcPr>
            <w:tcW w:w="6889" w:type="dxa"/>
            <w:shd w:val="clear" w:color="auto" w:fill="auto"/>
          </w:tcPr>
          <w:p w14:paraId="02EB378F" w14:textId="77777777" w:rsidR="00D870D8" w:rsidRDefault="34B46CAC" w:rsidP="34B46CAC">
            <w:pPr>
              <w:rPr>
                <w:sz w:val="22"/>
                <w:szCs w:val="22"/>
              </w:rPr>
            </w:pPr>
            <w:r w:rsidRPr="34B46CAC">
              <w:rPr>
                <w:sz w:val="22"/>
                <w:szCs w:val="22"/>
              </w:rPr>
              <w:t>23.01.2020</w:t>
            </w:r>
          </w:p>
          <w:p w14:paraId="7A1D699F" w14:textId="5BE00151" w:rsidR="00D870D8" w:rsidRDefault="00D870D8" w:rsidP="34B46CAC">
            <w:pPr>
              <w:rPr>
                <w:sz w:val="22"/>
                <w:szCs w:val="22"/>
              </w:rPr>
            </w:pPr>
          </w:p>
        </w:tc>
      </w:tr>
    </w:tbl>
    <w:p w14:paraId="6A05A809" w14:textId="77777777" w:rsidR="00D870D8" w:rsidRDefault="00D870D8">
      <w:pPr>
        <w:rPr>
          <w:b/>
          <w:sz w:val="22"/>
          <w:szCs w:val="22"/>
          <w:u w:val="single"/>
        </w:rPr>
      </w:pPr>
    </w:p>
    <w:p w14:paraId="471E12C1" w14:textId="77777777" w:rsidR="00D870D8" w:rsidRDefault="00647D12">
      <w:pPr>
        <w:jc w:val="both"/>
        <w:rPr>
          <w:sz w:val="22"/>
          <w:szCs w:val="22"/>
        </w:rPr>
      </w:pPr>
      <w:r>
        <w:rPr>
          <w:sz w:val="22"/>
          <w:szCs w:val="22"/>
        </w:rPr>
        <w:t xml:space="preserve">We recognise that moving into a care home is a significant decision.  Our aim is to assist you in making the right choice by making the terms upon which we provide care and accommodation clear and transparent.   If you choose to move into our Home, we will enter into an agreement in which both parties will have rights and obligations.  </w:t>
      </w:r>
    </w:p>
    <w:p w14:paraId="5A39BBE3" w14:textId="77777777" w:rsidR="00D870D8" w:rsidRDefault="00D870D8">
      <w:pPr>
        <w:jc w:val="both"/>
        <w:rPr>
          <w:sz w:val="22"/>
          <w:szCs w:val="22"/>
        </w:rPr>
      </w:pPr>
    </w:p>
    <w:p w14:paraId="0E48587B" w14:textId="77777777" w:rsidR="00D870D8" w:rsidRDefault="00647D12">
      <w:pPr>
        <w:jc w:val="both"/>
        <w:rPr>
          <w:sz w:val="22"/>
          <w:szCs w:val="22"/>
        </w:rPr>
      </w:pPr>
      <w:r>
        <w:rPr>
          <w:sz w:val="22"/>
          <w:szCs w:val="22"/>
        </w:rPr>
        <w:t xml:space="preserve">This fact sheet provides you with further information about our service and key terms and conditions that you should be aware of in order to assist you in determining whether our Home is an appropriate choice for you.  We have also produced a </w:t>
      </w:r>
      <w:r>
        <w:rPr>
          <w:b/>
          <w:sz w:val="22"/>
          <w:szCs w:val="22"/>
        </w:rPr>
        <w:t>‘Key Information Fact Sheet’</w:t>
      </w:r>
      <w:r>
        <w:rPr>
          <w:sz w:val="22"/>
          <w:szCs w:val="22"/>
        </w:rPr>
        <w:t xml:space="preserve">, which contains a brief summary.  If you consider that you may wish to move into our Home, we will also provide you with our </w:t>
      </w:r>
      <w:r>
        <w:rPr>
          <w:b/>
          <w:sz w:val="22"/>
          <w:szCs w:val="22"/>
        </w:rPr>
        <w:t>Terms and Conditions</w:t>
      </w:r>
      <w:r>
        <w:rPr>
          <w:sz w:val="22"/>
          <w:szCs w:val="22"/>
        </w:rPr>
        <w:t xml:space="preserve"> before you make your decision.  You may request a copy of our full Terms and Conditions at any stage.</w:t>
      </w:r>
    </w:p>
    <w:p w14:paraId="41C8F396" w14:textId="77777777" w:rsidR="00D870D8" w:rsidRDefault="00D870D8">
      <w:pPr>
        <w:jc w:val="both"/>
        <w:rPr>
          <w:b/>
          <w:sz w:val="22"/>
          <w:szCs w:val="22"/>
          <w:u w:val="single"/>
        </w:rPr>
      </w:pPr>
    </w:p>
    <w:tbl>
      <w:tblPr>
        <w:tblStyle w:val="TableGrid"/>
        <w:tblW w:w="9010" w:type="dxa"/>
        <w:tblLook w:val="04A0" w:firstRow="1" w:lastRow="0" w:firstColumn="1" w:lastColumn="0" w:noHBand="0" w:noVBand="1"/>
      </w:tblPr>
      <w:tblGrid>
        <w:gridCol w:w="2687"/>
        <w:gridCol w:w="6323"/>
      </w:tblGrid>
      <w:tr w:rsidR="00D870D8" w14:paraId="50CA5CAB" w14:textId="77777777" w:rsidTr="00451EEC">
        <w:tc>
          <w:tcPr>
            <w:tcW w:w="2687" w:type="dxa"/>
            <w:shd w:val="clear" w:color="auto" w:fill="auto"/>
          </w:tcPr>
          <w:p w14:paraId="0F8280EF" w14:textId="77777777" w:rsidR="00D870D8" w:rsidRDefault="00647D12">
            <w:pPr>
              <w:jc w:val="both"/>
              <w:rPr>
                <w:b/>
                <w:sz w:val="22"/>
                <w:szCs w:val="22"/>
              </w:rPr>
            </w:pPr>
            <w:r>
              <w:rPr>
                <w:b/>
                <w:sz w:val="22"/>
                <w:szCs w:val="22"/>
              </w:rPr>
              <w:t>Provider Details</w:t>
            </w:r>
          </w:p>
        </w:tc>
        <w:tc>
          <w:tcPr>
            <w:tcW w:w="6323" w:type="dxa"/>
            <w:shd w:val="clear" w:color="auto" w:fill="auto"/>
          </w:tcPr>
          <w:p w14:paraId="69044E1F" w14:textId="06E32980" w:rsidR="00D870D8" w:rsidRDefault="34B46CAC" w:rsidP="34B46CAC">
            <w:pPr>
              <w:jc w:val="both"/>
              <w:rPr>
                <w:sz w:val="22"/>
                <w:szCs w:val="22"/>
              </w:rPr>
            </w:pPr>
            <w:r w:rsidRPr="34B46CAC">
              <w:rPr>
                <w:sz w:val="22"/>
                <w:szCs w:val="22"/>
              </w:rPr>
              <w:t>The Home is run by Maria Mallaband Care Group Limited</w:t>
            </w:r>
          </w:p>
          <w:p w14:paraId="72A3D3EC" w14:textId="77777777" w:rsidR="00D870D8" w:rsidRDefault="00D870D8">
            <w:pPr>
              <w:jc w:val="both"/>
              <w:rPr>
                <w:sz w:val="22"/>
                <w:szCs w:val="22"/>
              </w:rPr>
            </w:pPr>
          </w:p>
          <w:p w14:paraId="3FAC6A06" w14:textId="77777777" w:rsidR="00D870D8" w:rsidRDefault="00647D12">
            <w:pPr>
              <w:jc w:val="both"/>
            </w:pPr>
            <w:r>
              <w:rPr>
                <w:sz w:val="22"/>
                <w:szCs w:val="22"/>
              </w:rPr>
              <w:t>The Provider also trades as Acer Healthcare Operations Limited.</w:t>
            </w:r>
          </w:p>
          <w:p w14:paraId="0D0B940D" w14:textId="77777777" w:rsidR="00D870D8" w:rsidRDefault="00D870D8">
            <w:pPr>
              <w:jc w:val="both"/>
              <w:rPr>
                <w:sz w:val="22"/>
                <w:szCs w:val="22"/>
              </w:rPr>
            </w:pPr>
          </w:p>
        </w:tc>
      </w:tr>
      <w:tr w:rsidR="00D870D8" w14:paraId="42DC955C" w14:textId="77777777" w:rsidTr="00451EEC">
        <w:tc>
          <w:tcPr>
            <w:tcW w:w="2687" w:type="dxa"/>
            <w:shd w:val="clear" w:color="auto" w:fill="auto"/>
          </w:tcPr>
          <w:p w14:paraId="10E7D41C" w14:textId="77777777" w:rsidR="00D870D8" w:rsidRDefault="00647D12">
            <w:pPr>
              <w:jc w:val="both"/>
              <w:rPr>
                <w:b/>
                <w:sz w:val="22"/>
                <w:szCs w:val="22"/>
              </w:rPr>
            </w:pPr>
            <w:r>
              <w:rPr>
                <w:b/>
                <w:sz w:val="22"/>
                <w:szCs w:val="22"/>
              </w:rPr>
              <w:t>Management Details</w:t>
            </w:r>
          </w:p>
        </w:tc>
        <w:tc>
          <w:tcPr>
            <w:tcW w:w="6323" w:type="dxa"/>
            <w:shd w:val="clear" w:color="auto" w:fill="auto"/>
          </w:tcPr>
          <w:p w14:paraId="70A24370" w14:textId="77777777" w:rsidR="00275126" w:rsidRDefault="34B46CAC" w:rsidP="00275126">
            <w:pPr>
              <w:rPr>
                <w:rFonts w:ascii="Segoe UI" w:hAnsi="Segoe UI" w:cs="Segoe UI"/>
                <w:sz w:val="21"/>
                <w:szCs w:val="21"/>
              </w:rPr>
            </w:pPr>
            <w:r w:rsidRPr="34B46CAC">
              <w:rPr>
                <w:sz w:val="22"/>
                <w:szCs w:val="22"/>
              </w:rPr>
              <w:t xml:space="preserve">The Home is managed on a day to day basis by </w:t>
            </w:r>
            <w:r w:rsidR="00275126">
              <w:rPr>
                <w:rFonts w:ascii="Segoe UI" w:hAnsi="Segoe UI" w:cs="Segoe UI"/>
                <w:sz w:val="21"/>
                <w:szCs w:val="21"/>
              </w:rPr>
              <w:t>Nicolas Kee Mew</w:t>
            </w:r>
          </w:p>
          <w:p w14:paraId="0E27B00A" w14:textId="1C0206A4" w:rsidR="00D870D8" w:rsidRDefault="00D870D8" w:rsidP="00451EEC">
            <w:pPr>
              <w:jc w:val="both"/>
              <w:rPr>
                <w:sz w:val="22"/>
                <w:szCs w:val="22"/>
              </w:rPr>
            </w:pPr>
            <w:bookmarkStart w:id="0" w:name="_GoBack"/>
            <w:bookmarkEnd w:id="0"/>
          </w:p>
        </w:tc>
      </w:tr>
      <w:tr w:rsidR="00D870D8" w14:paraId="713157F9" w14:textId="77777777" w:rsidTr="00451EEC">
        <w:tc>
          <w:tcPr>
            <w:tcW w:w="2687" w:type="dxa"/>
            <w:shd w:val="clear" w:color="auto" w:fill="auto"/>
          </w:tcPr>
          <w:p w14:paraId="6E9B5631" w14:textId="77777777" w:rsidR="00D870D8" w:rsidRDefault="00647D12">
            <w:pPr>
              <w:jc w:val="both"/>
              <w:rPr>
                <w:b/>
                <w:sz w:val="22"/>
                <w:szCs w:val="22"/>
              </w:rPr>
            </w:pPr>
            <w:r>
              <w:rPr>
                <w:b/>
                <w:sz w:val="22"/>
                <w:szCs w:val="22"/>
              </w:rPr>
              <w:t>Regulator</w:t>
            </w:r>
          </w:p>
        </w:tc>
        <w:tc>
          <w:tcPr>
            <w:tcW w:w="6323" w:type="dxa"/>
            <w:shd w:val="clear" w:color="auto" w:fill="auto"/>
          </w:tcPr>
          <w:p w14:paraId="37EC6880" w14:textId="77777777" w:rsidR="00D870D8" w:rsidRDefault="00647D12">
            <w:pPr>
              <w:jc w:val="both"/>
              <w:rPr>
                <w:sz w:val="22"/>
                <w:szCs w:val="22"/>
              </w:rPr>
            </w:pPr>
            <w:r>
              <w:rPr>
                <w:sz w:val="22"/>
                <w:szCs w:val="22"/>
              </w:rPr>
              <w:t xml:space="preserve">We are regulated by the Care Quality Commission (CQC). </w:t>
            </w:r>
          </w:p>
          <w:p w14:paraId="100A4369" w14:textId="77777777" w:rsidR="00D870D8" w:rsidRDefault="00647D12">
            <w:pPr>
              <w:jc w:val="both"/>
              <w:rPr>
                <w:sz w:val="22"/>
                <w:szCs w:val="22"/>
              </w:rPr>
            </w:pPr>
            <w:r>
              <w:rPr>
                <w:sz w:val="22"/>
                <w:szCs w:val="22"/>
              </w:rPr>
              <w:t>The CQC’s contact details are:</w:t>
            </w:r>
          </w:p>
          <w:p w14:paraId="60061E4C" w14:textId="77777777" w:rsidR="00D870D8" w:rsidRDefault="00D870D8">
            <w:pPr>
              <w:jc w:val="both"/>
              <w:rPr>
                <w:sz w:val="22"/>
                <w:szCs w:val="22"/>
              </w:rPr>
            </w:pPr>
          </w:p>
          <w:p w14:paraId="2BE423AC" w14:textId="77777777" w:rsidR="00D870D8" w:rsidRDefault="00647D12">
            <w:pPr>
              <w:jc w:val="both"/>
              <w:rPr>
                <w:sz w:val="22"/>
                <w:szCs w:val="22"/>
              </w:rPr>
            </w:pPr>
            <w:r>
              <w:rPr>
                <w:sz w:val="22"/>
                <w:szCs w:val="22"/>
              </w:rPr>
              <w:t>Tel: 03000 6161661</w:t>
            </w:r>
          </w:p>
          <w:p w14:paraId="44EAFD9C" w14:textId="77777777" w:rsidR="00D870D8" w:rsidRDefault="00D870D8">
            <w:pPr>
              <w:jc w:val="both"/>
              <w:rPr>
                <w:sz w:val="22"/>
                <w:szCs w:val="22"/>
              </w:rPr>
            </w:pPr>
          </w:p>
          <w:p w14:paraId="4C945308" w14:textId="77777777" w:rsidR="00D870D8" w:rsidRDefault="00647D12">
            <w:pPr>
              <w:jc w:val="both"/>
              <w:rPr>
                <w:sz w:val="22"/>
                <w:szCs w:val="22"/>
              </w:rPr>
            </w:pPr>
            <w:r>
              <w:rPr>
                <w:sz w:val="22"/>
                <w:szCs w:val="22"/>
              </w:rPr>
              <w:t>CQC, Citygate, Gallowgate, Newcastle Upon Tyne NE1 4PA</w:t>
            </w:r>
          </w:p>
          <w:p w14:paraId="4B94D5A5" w14:textId="77777777" w:rsidR="00D870D8" w:rsidRDefault="00D870D8">
            <w:pPr>
              <w:jc w:val="both"/>
              <w:rPr>
                <w:sz w:val="22"/>
                <w:szCs w:val="22"/>
              </w:rPr>
            </w:pPr>
          </w:p>
        </w:tc>
      </w:tr>
      <w:tr w:rsidR="00D870D8" w14:paraId="4DFF7DEB" w14:textId="77777777" w:rsidTr="00451EEC">
        <w:tc>
          <w:tcPr>
            <w:tcW w:w="2687" w:type="dxa"/>
            <w:shd w:val="clear" w:color="auto" w:fill="auto"/>
          </w:tcPr>
          <w:p w14:paraId="3FB48094" w14:textId="77777777" w:rsidR="00D870D8" w:rsidRDefault="00647D12">
            <w:pPr>
              <w:jc w:val="both"/>
              <w:rPr>
                <w:b/>
                <w:sz w:val="22"/>
                <w:szCs w:val="22"/>
              </w:rPr>
            </w:pPr>
            <w:r>
              <w:rPr>
                <w:b/>
                <w:sz w:val="22"/>
                <w:szCs w:val="22"/>
              </w:rPr>
              <w:t>Local Authority</w:t>
            </w:r>
          </w:p>
        </w:tc>
        <w:tc>
          <w:tcPr>
            <w:tcW w:w="6323" w:type="dxa"/>
            <w:shd w:val="clear" w:color="auto" w:fill="auto"/>
          </w:tcPr>
          <w:p w14:paraId="3DEEC669" w14:textId="17ED6C61" w:rsidR="00D870D8" w:rsidRPr="00451EEC" w:rsidRDefault="00647D12">
            <w:pPr>
              <w:jc w:val="both"/>
            </w:pPr>
            <w:r>
              <w:rPr>
                <w:sz w:val="22"/>
                <w:szCs w:val="22"/>
              </w:rPr>
              <w:t xml:space="preserve">Our local authority is Waltham Forest </w:t>
            </w:r>
          </w:p>
        </w:tc>
      </w:tr>
      <w:tr w:rsidR="00D870D8" w14:paraId="0A455E12" w14:textId="77777777" w:rsidTr="00451EEC">
        <w:tc>
          <w:tcPr>
            <w:tcW w:w="2687" w:type="dxa"/>
            <w:shd w:val="clear" w:color="auto" w:fill="auto"/>
          </w:tcPr>
          <w:p w14:paraId="3FD1A466" w14:textId="77777777" w:rsidR="00D870D8" w:rsidRDefault="00647D12">
            <w:pPr>
              <w:jc w:val="both"/>
              <w:rPr>
                <w:b/>
                <w:sz w:val="22"/>
                <w:szCs w:val="22"/>
              </w:rPr>
            </w:pPr>
            <w:r>
              <w:rPr>
                <w:b/>
                <w:sz w:val="22"/>
                <w:szCs w:val="22"/>
              </w:rPr>
              <w:t>Safeguarding Authority</w:t>
            </w:r>
          </w:p>
        </w:tc>
        <w:tc>
          <w:tcPr>
            <w:tcW w:w="6323" w:type="dxa"/>
            <w:shd w:val="clear" w:color="auto" w:fill="auto"/>
          </w:tcPr>
          <w:p w14:paraId="6C3BA867" w14:textId="77777777" w:rsidR="00D870D8" w:rsidRDefault="00647D12">
            <w:pPr>
              <w:jc w:val="both"/>
              <w:rPr>
                <w:sz w:val="22"/>
                <w:szCs w:val="22"/>
              </w:rPr>
            </w:pPr>
            <w:r>
              <w:rPr>
                <w:sz w:val="22"/>
                <w:szCs w:val="22"/>
              </w:rPr>
              <w:t>Safeguarding concerns can be raised with the Adult Safeguarding Team at our local authority.</w:t>
            </w:r>
          </w:p>
          <w:p w14:paraId="3656B9AB" w14:textId="77777777" w:rsidR="00D870D8" w:rsidRDefault="00D870D8">
            <w:pPr>
              <w:jc w:val="both"/>
              <w:rPr>
                <w:rFonts w:ascii="Calibri;Arial;Helvetica;sans-se" w:hAnsi="Calibri;Arial;Helvetica;sans-se"/>
                <w:color w:val="000000"/>
              </w:rPr>
            </w:pPr>
          </w:p>
          <w:p w14:paraId="45FB0818" w14:textId="77777777" w:rsidR="00D870D8" w:rsidRDefault="00D870D8">
            <w:pPr>
              <w:jc w:val="both"/>
              <w:rPr>
                <w:sz w:val="22"/>
                <w:szCs w:val="22"/>
              </w:rPr>
            </w:pPr>
          </w:p>
          <w:p w14:paraId="60ABD618" w14:textId="77777777" w:rsidR="00451EEC" w:rsidRPr="00451EEC" w:rsidRDefault="00647D12" w:rsidP="00451EEC">
            <w:pPr>
              <w:jc w:val="both"/>
              <w:rPr>
                <w:sz w:val="22"/>
                <w:szCs w:val="22"/>
              </w:rPr>
            </w:pPr>
            <w:r>
              <w:rPr>
                <w:sz w:val="22"/>
                <w:szCs w:val="22"/>
              </w:rPr>
              <w:t xml:space="preserve">Tel: </w:t>
            </w:r>
            <w:r w:rsidR="00451EEC" w:rsidRPr="00451EEC">
              <w:rPr>
                <w:sz w:val="22"/>
                <w:szCs w:val="22"/>
              </w:rPr>
              <w:t>02084963000</w:t>
            </w:r>
          </w:p>
          <w:p w14:paraId="75139959" w14:textId="077CA941" w:rsidR="00451EEC" w:rsidRPr="00451EEC" w:rsidRDefault="00451EEC" w:rsidP="00451EEC">
            <w:pPr>
              <w:jc w:val="both"/>
              <w:rPr>
                <w:sz w:val="22"/>
                <w:szCs w:val="22"/>
              </w:rPr>
            </w:pPr>
            <w:r w:rsidRPr="00451EEC">
              <w:rPr>
                <w:sz w:val="22"/>
                <w:szCs w:val="22"/>
              </w:rPr>
              <w:t xml:space="preserve">Adult </w:t>
            </w:r>
            <w:r>
              <w:rPr>
                <w:sz w:val="22"/>
                <w:szCs w:val="22"/>
              </w:rPr>
              <w:t>S</w:t>
            </w:r>
            <w:r w:rsidRPr="00451EEC">
              <w:rPr>
                <w:sz w:val="22"/>
                <w:szCs w:val="22"/>
              </w:rPr>
              <w:t xml:space="preserve">ocial </w:t>
            </w:r>
            <w:r>
              <w:rPr>
                <w:sz w:val="22"/>
                <w:szCs w:val="22"/>
              </w:rPr>
              <w:t>C</w:t>
            </w:r>
            <w:r w:rsidRPr="00451EEC">
              <w:rPr>
                <w:sz w:val="22"/>
                <w:szCs w:val="22"/>
              </w:rPr>
              <w:t>are</w:t>
            </w:r>
            <w:r>
              <w:rPr>
                <w:sz w:val="22"/>
                <w:szCs w:val="22"/>
              </w:rPr>
              <w:t xml:space="preserve">, </w:t>
            </w:r>
            <w:r w:rsidRPr="00451EEC">
              <w:rPr>
                <w:sz w:val="22"/>
                <w:szCs w:val="22"/>
              </w:rPr>
              <w:t xml:space="preserve">Waltham </w:t>
            </w:r>
            <w:r>
              <w:rPr>
                <w:sz w:val="22"/>
                <w:szCs w:val="22"/>
              </w:rPr>
              <w:t>F</w:t>
            </w:r>
            <w:r w:rsidRPr="00451EEC">
              <w:rPr>
                <w:sz w:val="22"/>
                <w:szCs w:val="22"/>
              </w:rPr>
              <w:t>orest Town Hall</w:t>
            </w:r>
            <w:r>
              <w:rPr>
                <w:sz w:val="22"/>
                <w:szCs w:val="22"/>
              </w:rPr>
              <w:t xml:space="preserve">, </w:t>
            </w:r>
            <w:r w:rsidRPr="00451EEC">
              <w:rPr>
                <w:sz w:val="22"/>
                <w:szCs w:val="22"/>
              </w:rPr>
              <w:t>Forest Road</w:t>
            </w:r>
          </w:p>
          <w:p w14:paraId="53128261" w14:textId="6B02004A" w:rsidR="00D870D8" w:rsidRDefault="00451EEC" w:rsidP="00451EEC">
            <w:pPr>
              <w:jc w:val="both"/>
              <w:rPr>
                <w:sz w:val="22"/>
                <w:szCs w:val="22"/>
              </w:rPr>
            </w:pPr>
            <w:r w:rsidRPr="00451EEC">
              <w:rPr>
                <w:sz w:val="22"/>
                <w:szCs w:val="22"/>
              </w:rPr>
              <w:t>Walthamstow</w:t>
            </w:r>
            <w:r>
              <w:rPr>
                <w:sz w:val="22"/>
                <w:szCs w:val="22"/>
              </w:rPr>
              <w:t xml:space="preserve">, </w:t>
            </w:r>
            <w:r w:rsidRPr="00451EEC">
              <w:rPr>
                <w:sz w:val="22"/>
                <w:szCs w:val="22"/>
              </w:rPr>
              <w:t xml:space="preserve">E17 4JF   </w:t>
            </w:r>
          </w:p>
        </w:tc>
      </w:tr>
      <w:tr w:rsidR="00D870D8" w14:paraId="04B87F2B" w14:textId="77777777" w:rsidTr="00451EEC">
        <w:tc>
          <w:tcPr>
            <w:tcW w:w="2687" w:type="dxa"/>
            <w:shd w:val="clear" w:color="auto" w:fill="auto"/>
          </w:tcPr>
          <w:p w14:paraId="77CFE4F7" w14:textId="77777777" w:rsidR="00D870D8" w:rsidRDefault="00647D12">
            <w:pPr>
              <w:jc w:val="both"/>
              <w:rPr>
                <w:b/>
                <w:sz w:val="22"/>
                <w:szCs w:val="22"/>
              </w:rPr>
            </w:pPr>
            <w:r>
              <w:rPr>
                <w:b/>
                <w:sz w:val="22"/>
                <w:szCs w:val="22"/>
              </w:rPr>
              <w:t>Trial Period</w:t>
            </w:r>
          </w:p>
        </w:tc>
        <w:tc>
          <w:tcPr>
            <w:tcW w:w="6323" w:type="dxa"/>
            <w:shd w:val="clear" w:color="auto" w:fill="auto"/>
          </w:tcPr>
          <w:p w14:paraId="79EE85BD" w14:textId="46D21716" w:rsidR="00D870D8" w:rsidRDefault="00647D12">
            <w:pPr>
              <w:jc w:val="both"/>
              <w:rPr>
                <w:sz w:val="22"/>
                <w:szCs w:val="22"/>
              </w:rPr>
            </w:pPr>
            <w:r>
              <w:rPr>
                <w:sz w:val="22"/>
                <w:szCs w:val="22"/>
              </w:rPr>
              <w:t>When you enter the Home, you may do so on a trial period of 4</w:t>
            </w:r>
            <w:r>
              <w:rPr>
                <w:sz w:val="22"/>
                <w:szCs w:val="22"/>
                <w:highlight w:val="yellow"/>
              </w:rPr>
              <w:t xml:space="preserve"> </w:t>
            </w:r>
            <w:r>
              <w:rPr>
                <w:sz w:val="22"/>
                <w:szCs w:val="22"/>
              </w:rPr>
              <w:t xml:space="preserve">weeks.  During this period either party may terminate the contract by giving 7 days’ notice in writing.  You do not have to provide reasons for giving notice.  </w:t>
            </w:r>
          </w:p>
          <w:p w14:paraId="62486C05" w14:textId="77777777" w:rsidR="00D870D8" w:rsidRDefault="00D870D8">
            <w:pPr>
              <w:jc w:val="both"/>
              <w:rPr>
                <w:sz w:val="22"/>
                <w:szCs w:val="22"/>
              </w:rPr>
            </w:pPr>
          </w:p>
          <w:p w14:paraId="3CE9A687" w14:textId="77777777" w:rsidR="00D870D8" w:rsidRDefault="00647D12">
            <w:pPr>
              <w:jc w:val="both"/>
              <w:rPr>
                <w:sz w:val="22"/>
                <w:szCs w:val="22"/>
              </w:rPr>
            </w:pPr>
            <w:r>
              <w:rPr>
                <w:sz w:val="22"/>
                <w:szCs w:val="22"/>
              </w:rPr>
              <w:t>We will only give notice during this period in circumstances if:</w:t>
            </w:r>
          </w:p>
          <w:p w14:paraId="4101652C" w14:textId="77777777" w:rsidR="00D870D8" w:rsidRDefault="00D870D8">
            <w:pPr>
              <w:jc w:val="both"/>
              <w:rPr>
                <w:sz w:val="22"/>
                <w:szCs w:val="22"/>
              </w:rPr>
            </w:pPr>
          </w:p>
          <w:p w14:paraId="3DE88145" w14:textId="77777777" w:rsidR="00D870D8" w:rsidRDefault="00647D12">
            <w:pPr>
              <w:jc w:val="both"/>
              <w:rPr>
                <w:sz w:val="22"/>
                <w:szCs w:val="22"/>
              </w:rPr>
            </w:pPr>
            <w:r>
              <w:rPr>
                <w:sz w:val="22"/>
                <w:szCs w:val="22"/>
              </w:rPr>
              <w:t xml:space="preserve">1.Your needs are not consistent with the information provided on assessment and we are unable to meet your needs or unable to </w:t>
            </w:r>
            <w:r>
              <w:rPr>
                <w:sz w:val="22"/>
                <w:szCs w:val="22"/>
              </w:rPr>
              <w:lastRenderedPageBreak/>
              <w:t>meet your needs at the agreed fee.</w:t>
            </w:r>
          </w:p>
          <w:p w14:paraId="066010B2" w14:textId="77777777" w:rsidR="00D870D8" w:rsidRDefault="00647D12">
            <w:pPr>
              <w:jc w:val="both"/>
              <w:rPr>
                <w:sz w:val="22"/>
                <w:szCs w:val="22"/>
              </w:rPr>
            </w:pPr>
            <w:r>
              <w:rPr>
                <w:sz w:val="22"/>
                <w:szCs w:val="22"/>
              </w:rPr>
              <w:t>2. There has been a change in your assessed needs which we cannot meet.</w:t>
            </w:r>
          </w:p>
          <w:p w14:paraId="7B1C663D" w14:textId="77777777" w:rsidR="00D870D8" w:rsidRDefault="00647D12">
            <w:pPr>
              <w:jc w:val="both"/>
              <w:rPr>
                <w:sz w:val="22"/>
                <w:szCs w:val="22"/>
              </w:rPr>
            </w:pPr>
            <w:r>
              <w:rPr>
                <w:sz w:val="22"/>
                <w:szCs w:val="22"/>
              </w:rPr>
              <w:t>3.  Your conduct or the conduct of your visitors is not conducive to the environment of the Home.</w:t>
            </w:r>
          </w:p>
          <w:p w14:paraId="4B7A5FF7" w14:textId="0C6201CA" w:rsidR="00D870D8" w:rsidRDefault="00647D12">
            <w:pPr>
              <w:jc w:val="both"/>
              <w:rPr>
                <w:sz w:val="22"/>
                <w:szCs w:val="22"/>
              </w:rPr>
            </w:pPr>
            <w:r>
              <w:rPr>
                <w:sz w:val="22"/>
                <w:szCs w:val="22"/>
              </w:rPr>
              <w:t>4. Your conduct or the conduct of your visitors places other residents or staff at risk.</w:t>
            </w:r>
          </w:p>
          <w:p w14:paraId="26EB68D1" w14:textId="77777777" w:rsidR="00451EEC" w:rsidRDefault="00451EEC">
            <w:pPr>
              <w:jc w:val="both"/>
              <w:rPr>
                <w:sz w:val="22"/>
                <w:szCs w:val="22"/>
              </w:rPr>
            </w:pPr>
          </w:p>
          <w:p w14:paraId="4B99056E" w14:textId="77777777" w:rsidR="00D870D8" w:rsidRDefault="00D870D8">
            <w:pPr>
              <w:jc w:val="both"/>
              <w:rPr>
                <w:b/>
                <w:sz w:val="22"/>
                <w:szCs w:val="22"/>
              </w:rPr>
            </w:pPr>
          </w:p>
        </w:tc>
      </w:tr>
      <w:tr w:rsidR="00D870D8" w14:paraId="1B42836D" w14:textId="77777777" w:rsidTr="00451EEC">
        <w:trPr>
          <w:trHeight w:val="274"/>
        </w:trPr>
        <w:tc>
          <w:tcPr>
            <w:tcW w:w="2687" w:type="dxa"/>
            <w:shd w:val="clear" w:color="auto" w:fill="auto"/>
          </w:tcPr>
          <w:p w14:paraId="0F9809AD" w14:textId="77777777" w:rsidR="00D870D8" w:rsidRDefault="00647D12">
            <w:pPr>
              <w:jc w:val="both"/>
              <w:rPr>
                <w:b/>
                <w:sz w:val="22"/>
                <w:szCs w:val="22"/>
              </w:rPr>
            </w:pPr>
            <w:r>
              <w:rPr>
                <w:b/>
                <w:sz w:val="22"/>
                <w:szCs w:val="22"/>
              </w:rPr>
              <w:lastRenderedPageBreak/>
              <w:t>Change to Funding Arrangements</w:t>
            </w:r>
          </w:p>
          <w:p w14:paraId="3CF2D8B6" w14:textId="77777777" w:rsidR="00D870D8" w:rsidRDefault="00D870D8">
            <w:pPr>
              <w:jc w:val="both"/>
              <w:rPr>
                <w:b/>
                <w:sz w:val="22"/>
                <w:szCs w:val="22"/>
              </w:rPr>
            </w:pPr>
          </w:p>
          <w:p w14:paraId="0FB78278" w14:textId="77777777" w:rsidR="00D870D8" w:rsidRDefault="00D870D8">
            <w:pPr>
              <w:jc w:val="both"/>
              <w:rPr>
                <w:b/>
                <w:sz w:val="22"/>
                <w:szCs w:val="22"/>
              </w:rPr>
            </w:pPr>
          </w:p>
          <w:p w14:paraId="6B15D9FC" w14:textId="77777777" w:rsidR="00D870D8" w:rsidRDefault="00647D12">
            <w:pPr>
              <w:jc w:val="both"/>
              <w:rPr>
                <w:b/>
                <w:bCs/>
                <w:sz w:val="22"/>
                <w:szCs w:val="22"/>
              </w:rPr>
            </w:pPr>
            <w:r>
              <w:rPr>
                <w:b/>
                <w:bCs/>
                <w:sz w:val="22"/>
                <w:szCs w:val="22"/>
              </w:rPr>
              <w:t>Third-Party-Top-Ups</w:t>
            </w:r>
          </w:p>
          <w:p w14:paraId="1FC39945" w14:textId="77777777" w:rsidR="00D870D8" w:rsidRDefault="00D870D8">
            <w:pPr>
              <w:jc w:val="both"/>
              <w:rPr>
                <w:sz w:val="22"/>
                <w:szCs w:val="22"/>
              </w:rPr>
            </w:pPr>
          </w:p>
          <w:p w14:paraId="0562CB0E" w14:textId="77777777" w:rsidR="00D870D8" w:rsidRDefault="00D870D8">
            <w:pPr>
              <w:jc w:val="both"/>
              <w:rPr>
                <w:sz w:val="22"/>
                <w:szCs w:val="22"/>
              </w:rPr>
            </w:pPr>
          </w:p>
          <w:p w14:paraId="34CE0A41" w14:textId="77777777" w:rsidR="00D870D8" w:rsidRDefault="00D870D8">
            <w:pPr>
              <w:jc w:val="both"/>
              <w:rPr>
                <w:sz w:val="22"/>
                <w:szCs w:val="22"/>
              </w:rPr>
            </w:pPr>
          </w:p>
          <w:p w14:paraId="62EBF3C5" w14:textId="77777777" w:rsidR="00D870D8" w:rsidRDefault="00D870D8">
            <w:pPr>
              <w:jc w:val="both"/>
              <w:rPr>
                <w:sz w:val="22"/>
                <w:szCs w:val="22"/>
              </w:rPr>
            </w:pPr>
          </w:p>
          <w:p w14:paraId="6D98A12B" w14:textId="77777777" w:rsidR="00D870D8" w:rsidRDefault="00D870D8">
            <w:pPr>
              <w:jc w:val="both"/>
              <w:rPr>
                <w:sz w:val="22"/>
                <w:szCs w:val="22"/>
              </w:rPr>
            </w:pPr>
          </w:p>
          <w:p w14:paraId="2946DB82" w14:textId="77777777" w:rsidR="00D870D8" w:rsidRDefault="00D870D8">
            <w:pPr>
              <w:jc w:val="both"/>
              <w:rPr>
                <w:sz w:val="22"/>
                <w:szCs w:val="22"/>
              </w:rPr>
            </w:pPr>
          </w:p>
          <w:p w14:paraId="5997CC1D" w14:textId="77777777" w:rsidR="00D870D8" w:rsidRDefault="00D870D8">
            <w:pPr>
              <w:jc w:val="both"/>
              <w:rPr>
                <w:sz w:val="22"/>
                <w:szCs w:val="22"/>
              </w:rPr>
            </w:pPr>
          </w:p>
          <w:p w14:paraId="110FFD37" w14:textId="77777777" w:rsidR="00D870D8" w:rsidRDefault="00D870D8">
            <w:pPr>
              <w:jc w:val="both"/>
              <w:rPr>
                <w:sz w:val="22"/>
                <w:szCs w:val="22"/>
              </w:rPr>
            </w:pPr>
          </w:p>
          <w:p w14:paraId="6B699379" w14:textId="77777777" w:rsidR="00D870D8" w:rsidRDefault="00D870D8">
            <w:pPr>
              <w:jc w:val="both"/>
              <w:rPr>
                <w:sz w:val="22"/>
                <w:szCs w:val="22"/>
              </w:rPr>
            </w:pPr>
          </w:p>
          <w:p w14:paraId="3FE9F23F" w14:textId="77777777" w:rsidR="00D870D8" w:rsidRDefault="00D870D8">
            <w:pPr>
              <w:jc w:val="both"/>
              <w:rPr>
                <w:sz w:val="22"/>
                <w:szCs w:val="22"/>
              </w:rPr>
            </w:pPr>
          </w:p>
          <w:p w14:paraId="754B4214" w14:textId="77777777" w:rsidR="00D870D8" w:rsidRDefault="00647D12">
            <w:pPr>
              <w:rPr>
                <w:b/>
                <w:bCs/>
                <w:sz w:val="22"/>
                <w:szCs w:val="22"/>
              </w:rPr>
            </w:pPr>
            <w:r>
              <w:rPr>
                <w:b/>
                <w:bCs/>
                <w:sz w:val="22"/>
                <w:szCs w:val="22"/>
              </w:rPr>
              <w:t>NHS Funding</w:t>
            </w:r>
          </w:p>
          <w:p w14:paraId="1F72F646" w14:textId="77777777" w:rsidR="00D870D8" w:rsidRDefault="00D870D8">
            <w:pPr>
              <w:rPr>
                <w:sz w:val="22"/>
                <w:szCs w:val="22"/>
              </w:rPr>
            </w:pPr>
          </w:p>
          <w:p w14:paraId="08CE6F91" w14:textId="77777777" w:rsidR="00D870D8" w:rsidRDefault="00D870D8">
            <w:pPr>
              <w:rPr>
                <w:sz w:val="22"/>
                <w:szCs w:val="22"/>
              </w:rPr>
            </w:pPr>
          </w:p>
          <w:p w14:paraId="61CDCEAD" w14:textId="77777777" w:rsidR="00D870D8" w:rsidRDefault="00D870D8">
            <w:pPr>
              <w:rPr>
                <w:sz w:val="22"/>
                <w:szCs w:val="22"/>
              </w:rPr>
            </w:pPr>
          </w:p>
          <w:p w14:paraId="6BB9E253" w14:textId="77777777" w:rsidR="00D870D8" w:rsidRDefault="00D870D8">
            <w:pPr>
              <w:rPr>
                <w:sz w:val="22"/>
                <w:szCs w:val="22"/>
              </w:rPr>
            </w:pPr>
          </w:p>
          <w:p w14:paraId="23DE523C" w14:textId="77777777" w:rsidR="00D870D8" w:rsidRDefault="00D870D8">
            <w:pPr>
              <w:rPr>
                <w:sz w:val="22"/>
                <w:szCs w:val="22"/>
              </w:rPr>
            </w:pPr>
          </w:p>
          <w:p w14:paraId="52E56223" w14:textId="77777777" w:rsidR="00D870D8" w:rsidRDefault="00D870D8">
            <w:pPr>
              <w:rPr>
                <w:sz w:val="22"/>
                <w:szCs w:val="22"/>
              </w:rPr>
            </w:pPr>
          </w:p>
          <w:p w14:paraId="07547A01" w14:textId="77777777" w:rsidR="00D870D8" w:rsidRDefault="00D870D8">
            <w:pPr>
              <w:rPr>
                <w:sz w:val="22"/>
                <w:szCs w:val="22"/>
              </w:rPr>
            </w:pPr>
          </w:p>
          <w:p w14:paraId="5043CB0F" w14:textId="77777777" w:rsidR="00D870D8" w:rsidRDefault="00D870D8">
            <w:pPr>
              <w:rPr>
                <w:sz w:val="22"/>
                <w:szCs w:val="22"/>
              </w:rPr>
            </w:pPr>
          </w:p>
          <w:p w14:paraId="07459315" w14:textId="77777777" w:rsidR="00D870D8" w:rsidRDefault="00D870D8">
            <w:pPr>
              <w:rPr>
                <w:sz w:val="22"/>
                <w:szCs w:val="22"/>
              </w:rPr>
            </w:pPr>
          </w:p>
          <w:p w14:paraId="6537F28F" w14:textId="77777777" w:rsidR="00D870D8" w:rsidRDefault="00D870D8">
            <w:pPr>
              <w:rPr>
                <w:sz w:val="22"/>
                <w:szCs w:val="22"/>
              </w:rPr>
            </w:pPr>
          </w:p>
          <w:p w14:paraId="6DFB9E20" w14:textId="77777777" w:rsidR="00D870D8" w:rsidRDefault="00D870D8">
            <w:pPr>
              <w:rPr>
                <w:sz w:val="22"/>
                <w:szCs w:val="22"/>
              </w:rPr>
            </w:pPr>
          </w:p>
          <w:p w14:paraId="70DF9E56" w14:textId="77777777" w:rsidR="00D870D8" w:rsidRDefault="00D870D8">
            <w:pPr>
              <w:rPr>
                <w:sz w:val="22"/>
                <w:szCs w:val="22"/>
              </w:rPr>
            </w:pPr>
          </w:p>
          <w:p w14:paraId="44E871BC" w14:textId="77777777" w:rsidR="00D870D8" w:rsidRDefault="00D870D8">
            <w:pPr>
              <w:rPr>
                <w:sz w:val="22"/>
                <w:szCs w:val="22"/>
              </w:rPr>
            </w:pPr>
          </w:p>
          <w:p w14:paraId="144A5D23" w14:textId="77777777" w:rsidR="00D870D8" w:rsidRDefault="00D870D8">
            <w:pPr>
              <w:rPr>
                <w:sz w:val="22"/>
                <w:szCs w:val="22"/>
              </w:rPr>
            </w:pPr>
          </w:p>
          <w:p w14:paraId="738610EB" w14:textId="77777777" w:rsidR="00D870D8" w:rsidRDefault="00D870D8">
            <w:pPr>
              <w:rPr>
                <w:sz w:val="22"/>
                <w:szCs w:val="22"/>
              </w:rPr>
            </w:pPr>
          </w:p>
          <w:p w14:paraId="637805D2" w14:textId="77777777" w:rsidR="00D870D8" w:rsidRDefault="00D870D8">
            <w:pPr>
              <w:rPr>
                <w:sz w:val="22"/>
                <w:szCs w:val="22"/>
              </w:rPr>
            </w:pPr>
          </w:p>
          <w:p w14:paraId="463F29E8" w14:textId="77777777" w:rsidR="00D870D8" w:rsidRDefault="00D870D8">
            <w:pPr>
              <w:rPr>
                <w:sz w:val="22"/>
                <w:szCs w:val="22"/>
              </w:rPr>
            </w:pPr>
          </w:p>
          <w:p w14:paraId="3B7B4B86" w14:textId="77777777" w:rsidR="00D870D8" w:rsidRDefault="00D870D8">
            <w:pPr>
              <w:rPr>
                <w:sz w:val="22"/>
                <w:szCs w:val="22"/>
              </w:rPr>
            </w:pPr>
          </w:p>
          <w:p w14:paraId="3A0FF5F2" w14:textId="77777777" w:rsidR="00D870D8" w:rsidRDefault="00D870D8">
            <w:pPr>
              <w:rPr>
                <w:sz w:val="22"/>
                <w:szCs w:val="22"/>
              </w:rPr>
            </w:pPr>
          </w:p>
          <w:p w14:paraId="5630AD66" w14:textId="77777777" w:rsidR="00D870D8" w:rsidRDefault="00D870D8">
            <w:pPr>
              <w:rPr>
                <w:sz w:val="22"/>
                <w:szCs w:val="22"/>
              </w:rPr>
            </w:pPr>
          </w:p>
          <w:p w14:paraId="61829076" w14:textId="77777777" w:rsidR="00D870D8" w:rsidRDefault="00D870D8">
            <w:pPr>
              <w:rPr>
                <w:sz w:val="22"/>
                <w:szCs w:val="22"/>
              </w:rPr>
            </w:pPr>
          </w:p>
          <w:p w14:paraId="2BA226A1" w14:textId="77777777" w:rsidR="00D870D8" w:rsidRDefault="00D870D8">
            <w:pPr>
              <w:rPr>
                <w:sz w:val="22"/>
                <w:szCs w:val="22"/>
              </w:rPr>
            </w:pPr>
          </w:p>
          <w:p w14:paraId="17AD93B2" w14:textId="77777777" w:rsidR="00D870D8" w:rsidRDefault="00D870D8">
            <w:pPr>
              <w:rPr>
                <w:sz w:val="22"/>
                <w:szCs w:val="22"/>
              </w:rPr>
            </w:pPr>
          </w:p>
          <w:p w14:paraId="0DE4B5B7" w14:textId="77777777" w:rsidR="00D870D8" w:rsidRDefault="00D870D8">
            <w:pPr>
              <w:rPr>
                <w:sz w:val="22"/>
                <w:szCs w:val="22"/>
              </w:rPr>
            </w:pPr>
          </w:p>
          <w:p w14:paraId="66204FF1" w14:textId="7CE300E0" w:rsidR="00D870D8" w:rsidRDefault="00D870D8">
            <w:pPr>
              <w:rPr>
                <w:sz w:val="22"/>
                <w:szCs w:val="22"/>
              </w:rPr>
            </w:pPr>
          </w:p>
          <w:p w14:paraId="2BA57BB3" w14:textId="77777777" w:rsidR="00451EEC" w:rsidRDefault="00451EEC">
            <w:pPr>
              <w:rPr>
                <w:sz w:val="22"/>
                <w:szCs w:val="22"/>
              </w:rPr>
            </w:pPr>
          </w:p>
          <w:p w14:paraId="2DBF0D7D" w14:textId="77777777" w:rsidR="00D870D8" w:rsidRDefault="00D870D8">
            <w:pPr>
              <w:rPr>
                <w:sz w:val="22"/>
                <w:szCs w:val="22"/>
              </w:rPr>
            </w:pPr>
          </w:p>
          <w:p w14:paraId="7A215265" w14:textId="77777777" w:rsidR="00D870D8" w:rsidRDefault="00647D12">
            <w:pPr>
              <w:rPr>
                <w:b/>
                <w:bCs/>
                <w:sz w:val="22"/>
                <w:szCs w:val="22"/>
              </w:rPr>
            </w:pPr>
            <w:r>
              <w:rPr>
                <w:b/>
                <w:bCs/>
                <w:sz w:val="22"/>
                <w:szCs w:val="22"/>
              </w:rPr>
              <w:t>Retrospective Funding</w:t>
            </w:r>
          </w:p>
          <w:p w14:paraId="6B62F1B3" w14:textId="77777777" w:rsidR="00D870D8" w:rsidRDefault="00D870D8">
            <w:pPr>
              <w:rPr>
                <w:sz w:val="22"/>
                <w:szCs w:val="22"/>
              </w:rPr>
            </w:pPr>
          </w:p>
          <w:p w14:paraId="02F2C34E" w14:textId="77777777" w:rsidR="00D870D8" w:rsidRDefault="00D870D8">
            <w:pPr>
              <w:rPr>
                <w:sz w:val="22"/>
                <w:szCs w:val="22"/>
              </w:rPr>
            </w:pPr>
          </w:p>
          <w:p w14:paraId="680A4E5D" w14:textId="77777777" w:rsidR="00D870D8" w:rsidRDefault="00D870D8">
            <w:pPr>
              <w:rPr>
                <w:sz w:val="22"/>
                <w:szCs w:val="22"/>
              </w:rPr>
            </w:pPr>
          </w:p>
          <w:p w14:paraId="19219836" w14:textId="77777777" w:rsidR="00D870D8" w:rsidRDefault="00D870D8">
            <w:pPr>
              <w:rPr>
                <w:sz w:val="22"/>
                <w:szCs w:val="22"/>
              </w:rPr>
            </w:pPr>
          </w:p>
          <w:p w14:paraId="296FEF7D" w14:textId="77777777" w:rsidR="00D870D8" w:rsidRDefault="00D870D8">
            <w:pPr>
              <w:rPr>
                <w:sz w:val="22"/>
                <w:szCs w:val="22"/>
              </w:rPr>
            </w:pPr>
          </w:p>
          <w:p w14:paraId="7194DBDC" w14:textId="77777777" w:rsidR="00D870D8" w:rsidRDefault="00D870D8">
            <w:pPr>
              <w:rPr>
                <w:sz w:val="22"/>
                <w:szCs w:val="22"/>
              </w:rPr>
            </w:pPr>
          </w:p>
          <w:p w14:paraId="769D0D3C" w14:textId="77777777" w:rsidR="00D870D8" w:rsidRDefault="00D870D8">
            <w:pPr>
              <w:rPr>
                <w:sz w:val="22"/>
                <w:szCs w:val="22"/>
              </w:rPr>
            </w:pPr>
          </w:p>
          <w:p w14:paraId="32380C58" w14:textId="77777777" w:rsidR="00D870D8" w:rsidRDefault="00647D12">
            <w:pPr>
              <w:rPr>
                <w:b/>
                <w:bCs/>
                <w:sz w:val="22"/>
                <w:szCs w:val="22"/>
              </w:rPr>
            </w:pPr>
            <w:r>
              <w:rPr>
                <w:b/>
                <w:bCs/>
                <w:sz w:val="22"/>
                <w:szCs w:val="22"/>
              </w:rPr>
              <w:t>First-Party-Top-Up</w:t>
            </w:r>
          </w:p>
        </w:tc>
        <w:tc>
          <w:tcPr>
            <w:tcW w:w="6323" w:type="dxa"/>
            <w:shd w:val="clear" w:color="auto" w:fill="auto"/>
          </w:tcPr>
          <w:p w14:paraId="18D972B9" w14:textId="77777777" w:rsidR="00D870D8" w:rsidRDefault="00647D12">
            <w:pPr>
              <w:jc w:val="both"/>
              <w:rPr>
                <w:sz w:val="22"/>
                <w:szCs w:val="22"/>
              </w:rPr>
            </w:pPr>
            <w:r>
              <w:rPr>
                <w:sz w:val="22"/>
                <w:szCs w:val="22"/>
              </w:rPr>
              <w:lastRenderedPageBreak/>
              <w:t>If your funding arrangements change whilst you are in the Home, this may have an impact on your placement.</w:t>
            </w:r>
          </w:p>
          <w:p w14:paraId="54CD245A" w14:textId="77777777" w:rsidR="00D870D8" w:rsidRDefault="00D870D8">
            <w:pPr>
              <w:jc w:val="both"/>
              <w:rPr>
                <w:sz w:val="22"/>
                <w:szCs w:val="22"/>
              </w:rPr>
            </w:pPr>
          </w:p>
          <w:p w14:paraId="1231BE67" w14:textId="77777777" w:rsidR="00D870D8" w:rsidRDefault="00D870D8">
            <w:pPr>
              <w:jc w:val="both"/>
              <w:rPr>
                <w:sz w:val="22"/>
                <w:szCs w:val="22"/>
              </w:rPr>
            </w:pPr>
          </w:p>
          <w:p w14:paraId="1D7A3699" w14:textId="77777777" w:rsidR="00D870D8" w:rsidRDefault="00647D12">
            <w:pPr>
              <w:jc w:val="both"/>
              <w:rPr>
                <w:sz w:val="22"/>
                <w:szCs w:val="22"/>
              </w:rPr>
            </w:pPr>
            <w:r>
              <w:rPr>
                <w:sz w:val="22"/>
                <w:szCs w:val="22"/>
              </w:rPr>
              <w:t xml:space="preserve">If you are self-funding and become eligible for local authority funding during your stay, the amount that the local authority agrees to pay may not be </w:t>
            </w:r>
            <w:proofErr w:type="gramStart"/>
            <w:r>
              <w:rPr>
                <w:sz w:val="22"/>
                <w:szCs w:val="22"/>
              </w:rPr>
              <w:t>sufficient</w:t>
            </w:r>
            <w:proofErr w:type="gramEnd"/>
            <w:r>
              <w:rPr>
                <w:sz w:val="22"/>
                <w:szCs w:val="22"/>
              </w:rPr>
              <w:t xml:space="preserve"> to meet our fees.  If this is the case, we may require a third person (a family member) to pay a top up fee.  This is called a ‘Third-Party-Top-Up’.  If there is no-one willing to pay a top up, then we may decide to terminate your placement.  The Third-Party-Top-Up will be arranged through the local authority.  The local authority is required to consider whether there is any reason you should remain in the Home and whether they have a duty to pay our full fee before requesting a Third-Party-Top-Up. </w:t>
            </w:r>
          </w:p>
          <w:p w14:paraId="36FEB5B0" w14:textId="77777777" w:rsidR="00D870D8" w:rsidRDefault="00D870D8">
            <w:pPr>
              <w:jc w:val="both"/>
              <w:rPr>
                <w:sz w:val="22"/>
                <w:szCs w:val="22"/>
              </w:rPr>
            </w:pPr>
          </w:p>
          <w:p w14:paraId="47A2C557" w14:textId="77777777" w:rsidR="00D870D8" w:rsidRDefault="00647D12">
            <w:pPr>
              <w:jc w:val="both"/>
              <w:rPr>
                <w:sz w:val="22"/>
                <w:szCs w:val="22"/>
              </w:rPr>
            </w:pPr>
            <w:r>
              <w:rPr>
                <w:sz w:val="22"/>
                <w:szCs w:val="22"/>
              </w:rPr>
              <w:t xml:space="preserve">We accept residents who are in receipt of Continuing Health Care Funding.  (This is when you are assessed as having a primary health need and the NHS pays for your accommodation and care.) The NHS will usually pay a standard fee which it assesses is sufficient to meet your ‘assessed care needs’.  Our fees may be higher than the NHS will agree to pay. The NHS may determine that your needs can be met in a more basic care setting.  If you become eligible for Continuing Health Care Funding (CHC) during your stay, and the NHS refuses to meet our full fee, you may be required to meet the difference between our fee and the amount the NHS will pay.  If you or the NHS are unwilling to pay the additional </w:t>
            </w:r>
            <w:proofErr w:type="gramStart"/>
            <w:r>
              <w:rPr>
                <w:sz w:val="22"/>
                <w:szCs w:val="22"/>
              </w:rPr>
              <w:t>fee</w:t>
            </w:r>
            <w:proofErr w:type="gramEnd"/>
            <w:r>
              <w:rPr>
                <w:sz w:val="22"/>
                <w:szCs w:val="22"/>
              </w:rPr>
              <w:t xml:space="preserve"> we may decide to terminate your placement. </w:t>
            </w:r>
          </w:p>
          <w:p w14:paraId="30D7AA69" w14:textId="77777777" w:rsidR="00D870D8" w:rsidRDefault="00D870D8">
            <w:pPr>
              <w:jc w:val="both"/>
              <w:rPr>
                <w:sz w:val="22"/>
                <w:szCs w:val="22"/>
              </w:rPr>
            </w:pPr>
          </w:p>
          <w:p w14:paraId="7987DE1A" w14:textId="77777777" w:rsidR="00D870D8" w:rsidRDefault="00647D12">
            <w:pPr>
              <w:jc w:val="both"/>
              <w:rPr>
                <w:sz w:val="22"/>
                <w:szCs w:val="22"/>
              </w:rPr>
            </w:pPr>
            <w:r>
              <w:rPr>
                <w:sz w:val="22"/>
                <w:szCs w:val="22"/>
              </w:rPr>
              <w:t>The NHS is required to consider whether there is any reason you should remain in the Home and whether they have a duty to pay our full fee.</w:t>
            </w:r>
          </w:p>
          <w:p w14:paraId="7196D064" w14:textId="77777777" w:rsidR="00D870D8" w:rsidRDefault="00D870D8">
            <w:pPr>
              <w:jc w:val="both"/>
              <w:rPr>
                <w:sz w:val="22"/>
                <w:szCs w:val="22"/>
              </w:rPr>
            </w:pPr>
          </w:p>
          <w:p w14:paraId="4EC9D435" w14:textId="77777777" w:rsidR="00D870D8" w:rsidRDefault="00647D12">
            <w:pPr>
              <w:jc w:val="both"/>
              <w:rPr>
                <w:sz w:val="22"/>
                <w:szCs w:val="22"/>
              </w:rPr>
            </w:pPr>
            <w:r>
              <w:rPr>
                <w:sz w:val="22"/>
                <w:szCs w:val="22"/>
              </w:rPr>
              <w:t>In circumstances where your funding arrangements change, we will have to terminate our Agreement with you and enter into a new agreement with the local authority, the NHS and/or yourself if you are required to make a contribution towards our fees.</w:t>
            </w:r>
          </w:p>
          <w:p w14:paraId="34FF1C98" w14:textId="77777777" w:rsidR="00D870D8" w:rsidRDefault="00D870D8">
            <w:pPr>
              <w:jc w:val="both"/>
              <w:rPr>
                <w:sz w:val="22"/>
                <w:szCs w:val="22"/>
              </w:rPr>
            </w:pPr>
          </w:p>
          <w:p w14:paraId="7F293246" w14:textId="77777777" w:rsidR="00D870D8" w:rsidRDefault="00647D12">
            <w:pPr>
              <w:jc w:val="both"/>
              <w:rPr>
                <w:sz w:val="22"/>
                <w:szCs w:val="22"/>
              </w:rPr>
            </w:pPr>
            <w:r>
              <w:rPr>
                <w:sz w:val="22"/>
                <w:szCs w:val="22"/>
              </w:rPr>
              <w:t>You will remain liable under your agreement with us until it is terminated.</w:t>
            </w:r>
          </w:p>
          <w:p w14:paraId="6D072C0D" w14:textId="3020E9E0" w:rsidR="00D870D8" w:rsidRDefault="00D870D8">
            <w:pPr>
              <w:jc w:val="both"/>
              <w:rPr>
                <w:sz w:val="22"/>
                <w:szCs w:val="22"/>
              </w:rPr>
            </w:pPr>
          </w:p>
          <w:p w14:paraId="79B908F1" w14:textId="4A990C32" w:rsidR="00451EEC" w:rsidRDefault="00451EEC">
            <w:pPr>
              <w:jc w:val="both"/>
              <w:rPr>
                <w:sz w:val="22"/>
                <w:szCs w:val="22"/>
              </w:rPr>
            </w:pPr>
          </w:p>
          <w:p w14:paraId="6C75C3BC" w14:textId="77777777" w:rsidR="00451EEC" w:rsidRDefault="00451EEC">
            <w:pPr>
              <w:jc w:val="both"/>
              <w:rPr>
                <w:sz w:val="22"/>
                <w:szCs w:val="22"/>
              </w:rPr>
            </w:pPr>
          </w:p>
          <w:p w14:paraId="48A21919" w14:textId="77777777" w:rsidR="00D870D8" w:rsidRDefault="00D870D8">
            <w:pPr>
              <w:jc w:val="both"/>
              <w:rPr>
                <w:sz w:val="22"/>
                <w:szCs w:val="22"/>
              </w:rPr>
            </w:pPr>
          </w:p>
          <w:p w14:paraId="57EA1728" w14:textId="77777777" w:rsidR="00D870D8" w:rsidRDefault="00647D12">
            <w:pPr>
              <w:jc w:val="both"/>
              <w:rPr>
                <w:sz w:val="22"/>
                <w:szCs w:val="22"/>
              </w:rPr>
            </w:pPr>
            <w:r>
              <w:rPr>
                <w:sz w:val="22"/>
                <w:szCs w:val="22"/>
              </w:rPr>
              <w:t>If you are assessed retrospectively as being entitled to receive NHS or local authority funding, we will only refund the amount that the local authority or NHS agrees to pay us for your fees during this period.  This may not be the full amount that you have paid under the Agreement.  Any reimbursement should be made directly to you by the funding body. If refunds are made to us, we will reimburse you once we have received cleared funds.</w:t>
            </w:r>
          </w:p>
          <w:p w14:paraId="6BD18F9B" w14:textId="77777777" w:rsidR="00D870D8" w:rsidRDefault="00D870D8">
            <w:pPr>
              <w:jc w:val="both"/>
              <w:rPr>
                <w:sz w:val="22"/>
                <w:szCs w:val="22"/>
              </w:rPr>
            </w:pPr>
          </w:p>
          <w:p w14:paraId="7FD800EA" w14:textId="77777777" w:rsidR="00D870D8" w:rsidRDefault="00647D12">
            <w:pPr>
              <w:jc w:val="both"/>
              <w:rPr>
                <w:sz w:val="22"/>
                <w:szCs w:val="22"/>
              </w:rPr>
            </w:pPr>
            <w:r>
              <w:rPr>
                <w:sz w:val="22"/>
                <w:szCs w:val="22"/>
              </w:rPr>
              <w:t>If your fees are being paid by the Local Authority during the period of the 12-week-property-disregard (when the value of your house is not taken into account when calculating your eligibility for Local authority funding) or because you have entered into a Deferred Payment Agreement, and the amount the Local Authority pays is lower than our fee, you may be required to pay a top up (First-Party-Top-Up).</w:t>
            </w:r>
          </w:p>
          <w:p w14:paraId="238601FE" w14:textId="77777777" w:rsidR="00D870D8" w:rsidRDefault="00D870D8">
            <w:pPr>
              <w:jc w:val="both"/>
              <w:rPr>
                <w:sz w:val="22"/>
                <w:szCs w:val="22"/>
              </w:rPr>
            </w:pPr>
          </w:p>
          <w:p w14:paraId="0F3CABC7" w14:textId="577EBD07" w:rsidR="00D870D8" w:rsidRDefault="00647D12">
            <w:pPr>
              <w:jc w:val="both"/>
              <w:rPr>
                <w:sz w:val="22"/>
                <w:szCs w:val="22"/>
              </w:rPr>
            </w:pPr>
            <w:r>
              <w:rPr>
                <w:sz w:val="22"/>
                <w:szCs w:val="22"/>
              </w:rPr>
              <w:t>You are required to inform us if you have entered into a Deferred Payment Agreement or if a local authority is funding your placement during a period of a 12-week-property-disregard.</w:t>
            </w:r>
          </w:p>
        </w:tc>
      </w:tr>
      <w:tr w:rsidR="00D870D8" w14:paraId="38094044" w14:textId="77777777" w:rsidTr="00451EEC">
        <w:trPr>
          <w:trHeight w:val="273"/>
        </w:trPr>
        <w:tc>
          <w:tcPr>
            <w:tcW w:w="2687" w:type="dxa"/>
            <w:shd w:val="clear" w:color="auto" w:fill="auto"/>
          </w:tcPr>
          <w:p w14:paraId="54A2346B" w14:textId="77777777" w:rsidR="00D870D8" w:rsidRDefault="00647D12">
            <w:pPr>
              <w:jc w:val="both"/>
              <w:rPr>
                <w:b/>
                <w:sz w:val="22"/>
                <w:szCs w:val="22"/>
              </w:rPr>
            </w:pPr>
            <w:r>
              <w:rPr>
                <w:b/>
                <w:sz w:val="22"/>
                <w:szCs w:val="22"/>
              </w:rPr>
              <w:lastRenderedPageBreak/>
              <w:t>Complaints Handling Procedure</w:t>
            </w:r>
          </w:p>
        </w:tc>
        <w:tc>
          <w:tcPr>
            <w:tcW w:w="6323" w:type="dxa"/>
            <w:shd w:val="clear" w:color="auto" w:fill="auto"/>
          </w:tcPr>
          <w:p w14:paraId="18A8E262" w14:textId="77777777" w:rsidR="00D870D8" w:rsidRDefault="00647D12">
            <w:pPr>
              <w:jc w:val="both"/>
              <w:rPr>
                <w:sz w:val="22"/>
                <w:szCs w:val="22"/>
              </w:rPr>
            </w:pPr>
            <w:r>
              <w:rPr>
                <w:sz w:val="22"/>
                <w:szCs w:val="22"/>
              </w:rPr>
              <w:t>We operate a robust complaints process.  If you have any cause to complain, we request that you follow our complaints process to ensure that we deal with your complaint effectively.</w:t>
            </w:r>
          </w:p>
          <w:p w14:paraId="5B08B5D1" w14:textId="77777777" w:rsidR="00D870D8" w:rsidRDefault="00D870D8">
            <w:pPr>
              <w:jc w:val="both"/>
              <w:rPr>
                <w:sz w:val="22"/>
                <w:szCs w:val="22"/>
              </w:rPr>
            </w:pPr>
          </w:p>
          <w:p w14:paraId="6D0A4D7D" w14:textId="77777777" w:rsidR="00D870D8" w:rsidRDefault="00647D12">
            <w:pPr>
              <w:jc w:val="both"/>
              <w:rPr>
                <w:sz w:val="22"/>
                <w:szCs w:val="22"/>
              </w:rPr>
            </w:pPr>
            <w:r>
              <w:rPr>
                <w:sz w:val="22"/>
                <w:szCs w:val="22"/>
              </w:rPr>
              <w:t>A copy of our complaints process is available from reception and is on the website.</w:t>
            </w:r>
          </w:p>
          <w:p w14:paraId="16DEB4AB" w14:textId="77777777" w:rsidR="00D870D8" w:rsidRDefault="00D870D8">
            <w:pPr>
              <w:jc w:val="both"/>
              <w:rPr>
                <w:sz w:val="22"/>
                <w:szCs w:val="22"/>
              </w:rPr>
            </w:pPr>
          </w:p>
          <w:p w14:paraId="3EC80ABA" w14:textId="77777777" w:rsidR="00D870D8" w:rsidRDefault="00647D12">
            <w:pPr>
              <w:jc w:val="both"/>
              <w:rPr>
                <w:sz w:val="22"/>
                <w:szCs w:val="22"/>
              </w:rPr>
            </w:pPr>
            <w:r>
              <w:rPr>
                <w:sz w:val="22"/>
                <w:szCs w:val="22"/>
              </w:rPr>
              <w:t>If you remain dissatisfied with how we have handled your complaint you can refer the matter to the Local Government and Social Care Ombudsman.</w:t>
            </w:r>
          </w:p>
          <w:p w14:paraId="0AD9C6F4" w14:textId="77777777" w:rsidR="00D870D8" w:rsidRDefault="00D870D8">
            <w:pPr>
              <w:jc w:val="both"/>
              <w:rPr>
                <w:sz w:val="22"/>
                <w:szCs w:val="22"/>
              </w:rPr>
            </w:pPr>
          </w:p>
          <w:p w14:paraId="275A54F5" w14:textId="77777777" w:rsidR="00D870D8" w:rsidRDefault="00275126">
            <w:pPr>
              <w:jc w:val="both"/>
            </w:pPr>
            <w:hyperlink r:id="rId10">
              <w:r w:rsidR="00647D12">
                <w:rPr>
                  <w:rStyle w:val="InternetLink"/>
                  <w:sz w:val="22"/>
                  <w:szCs w:val="22"/>
                </w:rPr>
                <w:t>https://www.lgo.org.uk/contact-us</w:t>
              </w:r>
            </w:hyperlink>
          </w:p>
          <w:p w14:paraId="4B1F511A" w14:textId="77777777" w:rsidR="00D870D8" w:rsidRDefault="00D870D8">
            <w:pPr>
              <w:jc w:val="both"/>
              <w:rPr>
                <w:sz w:val="22"/>
                <w:szCs w:val="22"/>
              </w:rPr>
            </w:pPr>
          </w:p>
          <w:p w14:paraId="65F9C3DC" w14:textId="458FC47C" w:rsidR="00D870D8" w:rsidRDefault="00647D12" w:rsidP="00104202">
            <w:pPr>
              <w:rPr>
                <w:sz w:val="22"/>
                <w:szCs w:val="22"/>
              </w:rPr>
            </w:pPr>
            <w:r>
              <w:rPr>
                <w:rStyle w:val="Strong"/>
                <w:rFonts w:cs="Arial"/>
                <w:b w:val="0"/>
                <w:color w:val="000000" w:themeColor="text1"/>
                <w:sz w:val="22"/>
                <w:szCs w:val="22"/>
              </w:rPr>
              <w:t>T</w:t>
            </w:r>
            <w:r>
              <w:rPr>
                <w:rStyle w:val="Strong"/>
                <w:rFonts w:cs="Arial"/>
                <w:color w:val="000000" w:themeColor="text1"/>
                <w:sz w:val="22"/>
                <w:szCs w:val="22"/>
              </w:rPr>
              <w:t xml:space="preserve">el: </w:t>
            </w:r>
            <w:r>
              <w:rPr>
                <w:rStyle w:val="Strong"/>
                <w:rFonts w:cs="Arial"/>
                <w:b w:val="0"/>
                <w:color w:val="000000" w:themeColor="text1"/>
                <w:sz w:val="22"/>
                <w:szCs w:val="22"/>
              </w:rPr>
              <w:t>0300 061 0614</w:t>
            </w:r>
          </w:p>
        </w:tc>
      </w:tr>
      <w:tr w:rsidR="00D870D8" w14:paraId="69E83E49" w14:textId="77777777" w:rsidTr="00451EEC">
        <w:trPr>
          <w:trHeight w:val="273"/>
        </w:trPr>
        <w:tc>
          <w:tcPr>
            <w:tcW w:w="2687" w:type="dxa"/>
            <w:shd w:val="clear" w:color="auto" w:fill="auto"/>
          </w:tcPr>
          <w:p w14:paraId="09718E46" w14:textId="77777777" w:rsidR="00D870D8" w:rsidRDefault="00647D12">
            <w:pPr>
              <w:jc w:val="both"/>
              <w:rPr>
                <w:b/>
                <w:sz w:val="22"/>
                <w:szCs w:val="22"/>
              </w:rPr>
            </w:pPr>
            <w:r>
              <w:rPr>
                <w:b/>
                <w:sz w:val="22"/>
                <w:szCs w:val="22"/>
              </w:rPr>
              <w:t>Reasons for Terminating the Contract</w:t>
            </w:r>
          </w:p>
        </w:tc>
        <w:tc>
          <w:tcPr>
            <w:tcW w:w="6323" w:type="dxa"/>
            <w:shd w:val="clear" w:color="auto" w:fill="auto"/>
          </w:tcPr>
          <w:p w14:paraId="011B8E0F" w14:textId="77777777" w:rsidR="00D870D8" w:rsidRDefault="00647D12">
            <w:pPr>
              <w:jc w:val="both"/>
              <w:rPr>
                <w:sz w:val="22"/>
                <w:szCs w:val="22"/>
              </w:rPr>
            </w:pPr>
            <w:r>
              <w:rPr>
                <w:sz w:val="22"/>
                <w:szCs w:val="22"/>
              </w:rPr>
              <w:t xml:space="preserve">We accept that the Home is your Home and we will not terminate our Agreement with you without a justifiable reason.  </w:t>
            </w:r>
          </w:p>
          <w:p w14:paraId="5023141B" w14:textId="77777777" w:rsidR="00D870D8" w:rsidRDefault="00D870D8">
            <w:pPr>
              <w:jc w:val="both"/>
              <w:rPr>
                <w:sz w:val="22"/>
                <w:szCs w:val="22"/>
              </w:rPr>
            </w:pPr>
          </w:p>
          <w:p w14:paraId="58F2B201" w14:textId="77777777" w:rsidR="00D870D8" w:rsidRDefault="00647D12">
            <w:pPr>
              <w:jc w:val="both"/>
              <w:rPr>
                <w:sz w:val="22"/>
                <w:szCs w:val="22"/>
              </w:rPr>
            </w:pPr>
            <w:r>
              <w:rPr>
                <w:sz w:val="22"/>
                <w:szCs w:val="22"/>
              </w:rPr>
              <w:t>We may terminate the Agreement if:</w:t>
            </w:r>
          </w:p>
          <w:p w14:paraId="1F3B1409" w14:textId="77777777" w:rsidR="00D870D8" w:rsidRDefault="00D870D8">
            <w:pPr>
              <w:jc w:val="both"/>
              <w:rPr>
                <w:sz w:val="22"/>
                <w:szCs w:val="22"/>
              </w:rPr>
            </w:pPr>
          </w:p>
          <w:p w14:paraId="694B4B81" w14:textId="77777777" w:rsidR="00D870D8" w:rsidRDefault="00647D12">
            <w:pPr>
              <w:pStyle w:val="ListParagraph"/>
              <w:numPr>
                <w:ilvl w:val="0"/>
                <w:numId w:val="1"/>
              </w:numPr>
              <w:ind w:left="322"/>
              <w:jc w:val="both"/>
              <w:rPr>
                <w:sz w:val="22"/>
                <w:szCs w:val="22"/>
              </w:rPr>
            </w:pPr>
            <w:r>
              <w:rPr>
                <w:sz w:val="22"/>
                <w:szCs w:val="22"/>
              </w:rPr>
              <w:t>You fail to pay your fees</w:t>
            </w:r>
          </w:p>
          <w:p w14:paraId="1186D66B" w14:textId="77777777" w:rsidR="00D870D8" w:rsidRDefault="00647D12">
            <w:pPr>
              <w:pStyle w:val="ListParagraph"/>
              <w:numPr>
                <w:ilvl w:val="0"/>
                <w:numId w:val="1"/>
              </w:numPr>
              <w:ind w:left="322"/>
              <w:jc w:val="both"/>
              <w:rPr>
                <w:sz w:val="22"/>
                <w:szCs w:val="22"/>
              </w:rPr>
            </w:pPr>
            <w:r>
              <w:rPr>
                <w:sz w:val="22"/>
                <w:szCs w:val="22"/>
              </w:rPr>
              <w:t>We can no longer meet your assessed needs</w:t>
            </w:r>
          </w:p>
          <w:p w14:paraId="423F5583" w14:textId="77777777" w:rsidR="00D870D8" w:rsidRDefault="00647D12">
            <w:pPr>
              <w:pStyle w:val="ListParagraph"/>
              <w:numPr>
                <w:ilvl w:val="0"/>
                <w:numId w:val="1"/>
              </w:numPr>
              <w:ind w:left="322"/>
              <w:jc w:val="both"/>
              <w:rPr>
                <w:sz w:val="22"/>
                <w:szCs w:val="22"/>
              </w:rPr>
            </w:pPr>
            <w:r>
              <w:rPr>
                <w:sz w:val="22"/>
                <w:szCs w:val="22"/>
              </w:rPr>
              <w:t>There is an irreconcilable breakdown in the relationship between you and us or between us and your relatives or representatives</w:t>
            </w:r>
          </w:p>
          <w:p w14:paraId="701AE883" w14:textId="77777777" w:rsidR="00D870D8" w:rsidRDefault="00647D12">
            <w:pPr>
              <w:pStyle w:val="ListParagraph"/>
              <w:numPr>
                <w:ilvl w:val="0"/>
                <w:numId w:val="1"/>
              </w:numPr>
              <w:ind w:left="322"/>
              <w:jc w:val="both"/>
              <w:rPr>
                <w:sz w:val="22"/>
                <w:szCs w:val="22"/>
              </w:rPr>
            </w:pPr>
            <w:r>
              <w:rPr>
                <w:sz w:val="22"/>
                <w:szCs w:val="22"/>
              </w:rPr>
              <w:t xml:space="preserve">The Home’s registrations </w:t>
            </w:r>
            <w:proofErr w:type="gramStart"/>
            <w:r>
              <w:rPr>
                <w:sz w:val="22"/>
                <w:szCs w:val="22"/>
              </w:rPr>
              <w:t>is</w:t>
            </w:r>
            <w:proofErr w:type="gramEnd"/>
            <w:r>
              <w:rPr>
                <w:sz w:val="22"/>
                <w:szCs w:val="22"/>
              </w:rPr>
              <w:t xml:space="preserve"> cancelled or the Home closes</w:t>
            </w:r>
          </w:p>
          <w:p w14:paraId="12BD8626" w14:textId="77777777" w:rsidR="00D870D8" w:rsidRDefault="00647D12">
            <w:pPr>
              <w:pStyle w:val="ListParagraph"/>
              <w:numPr>
                <w:ilvl w:val="0"/>
                <w:numId w:val="1"/>
              </w:numPr>
              <w:ind w:left="322"/>
              <w:jc w:val="both"/>
              <w:rPr>
                <w:sz w:val="22"/>
                <w:szCs w:val="22"/>
              </w:rPr>
            </w:pPr>
            <w:r>
              <w:rPr>
                <w:sz w:val="22"/>
                <w:szCs w:val="22"/>
              </w:rPr>
              <w:t>Your conduct is not conducive to the Home, or other residents or your conduct puts other residents or staff at risk of harm</w:t>
            </w:r>
          </w:p>
          <w:p w14:paraId="5FF70F37" w14:textId="77777777" w:rsidR="00D870D8" w:rsidRDefault="00647D12">
            <w:pPr>
              <w:pStyle w:val="ListParagraph"/>
              <w:numPr>
                <w:ilvl w:val="0"/>
                <w:numId w:val="1"/>
              </w:numPr>
              <w:ind w:left="322"/>
              <w:jc w:val="both"/>
              <w:rPr>
                <w:sz w:val="22"/>
                <w:szCs w:val="22"/>
              </w:rPr>
            </w:pPr>
            <w:r>
              <w:rPr>
                <w:sz w:val="22"/>
                <w:szCs w:val="22"/>
              </w:rPr>
              <w:t>There is a change in you funding arrangement and your or your representatives refuse to pay the top-up-fee or additional fees charged</w:t>
            </w:r>
          </w:p>
          <w:p w14:paraId="562C75D1" w14:textId="77777777" w:rsidR="00D870D8" w:rsidRDefault="00D870D8">
            <w:pPr>
              <w:jc w:val="both"/>
              <w:rPr>
                <w:sz w:val="22"/>
                <w:szCs w:val="22"/>
              </w:rPr>
            </w:pPr>
          </w:p>
          <w:p w14:paraId="664355AD" w14:textId="3B73CF10" w:rsidR="00D870D8" w:rsidRDefault="00647D12" w:rsidP="00104202">
            <w:pPr>
              <w:jc w:val="both"/>
              <w:rPr>
                <w:sz w:val="22"/>
                <w:szCs w:val="22"/>
              </w:rPr>
            </w:pPr>
            <w:r>
              <w:rPr>
                <w:sz w:val="22"/>
                <w:szCs w:val="22"/>
              </w:rPr>
              <w:lastRenderedPageBreak/>
              <w:t xml:space="preserve">You may terminate this Agreement by giving 28 </w:t>
            </w:r>
            <w:proofErr w:type="spellStart"/>
            <w:r>
              <w:rPr>
                <w:sz w:val="22"/>
                <w:szCs w:val="22"/>
              </w:rPr>
              <w:t>day’s notice</w:t>
            </w:r>
            <w:proofErr w:type="spellEnd"/>
            <w:r>
              <w:rPr>
                <w:sz w:val="22"/>
                <w:szCs w:val="22"/>
              </w:rPr>
              <w:t>.</w:t>
            </w:r>
          </w:p>
        </w:tc>
      </w:tr>
      <w:tr w:rsidR="00D870D8" w14:paraId="46FDA08D" w14:textId="77777777" w:rsidTr="00451EEC">
        <w:trPr>
          <w:trHeight w:val="273"/>
        </w:trPr>
        <w:tc>
          <w:tcPr>
            <w:tcW w:w="2687" w:type="dxa"/>
            <w:shd w:val="clear" w:color="auto" w:fill="auto"/>
          </w:tcPr>
          <w:p w14:paraId="71B0EFC3" w14:textId="77777777" w:rsidR="00D870D8" w:rsidRDefault="00647D12">
            <w:pPr>
              <w:jc w:val="both"/>
              <w:rPr>
                <w:b/>
                <w:sz w:val="22"/>
                <w:szCs w:val="22"/>
              </w:rPr>
            </w:pPr>
            <w:r>
              <w:rPr>
                <w:b/>
                <w:sz w:val="22"/>
                <w:szCs w:val="22"/>
              </w:rPr>
              <w:lastRenderedPageBreak/>
              <w:t>Last Food Hygiene Rating</w:t>
            </w:r>
          </w:p>
        </w:tc>
        <w:tc>
          <w:tcPr>
            <w:tcW w:w="6323" w:type="dxa"/>
            <w:shd w:val="clear" w:color="auto" w:fill="auto"/>
          </w:tcPr>
          <w:p w14:paraId="6E796507" w14:textId="3183464A" w:rsidR="00D870D8" w:rsidRDefault="00647D12">
            <w:pPr>
              <w:jc w:val="both"/>
              <w:rPr>
                <w:sz w:val="22"/>
                <w:szCs w:val="22"/>
              </w:rPr>
            </w:pPr>
            <w:r>
              <w:rPr>
                <w:sz w:val="22"/>
                <w:szCs w:val="22"/>
              </w:rPr>
              <w:t xml:space="preserve">Our latest food hygiene rating dated  </w:t>
            </w:r>
            <w:r w:rsidRPr="00647D12">
              <w:rPr>
                <w:sz w:val="22"/>
                <w:szCs w:val="22"/>
              </w:rPr>
              <w:t>1</w:t>
            </w:r>
            <w:r>
              <w:rPr>
                <w:sz w:val="22"/>
                <w:szCs w:val="22"/>
              </w:rPr>
              <w:t>2</w:t>
            </w:r>
            <w:r w:rsidRPr="00647D12">
              <w:rPr>
                <w:sz w:val="22"/>
                <w:szCs w:val="22"/>
              </w:rPr>
              <w:t xml:space="preserve"> December 2019</w:t>
            </w:r>
            <w:r>
              <w:rPr>
                <w:sz w:val="22"/>
                <w:szCs w:val="22"/>
              </w:rPr>
              <w:t xml:space="preserve"> was 5 star</w:t>
            </w:r>
          </w:p>
          <w:p w14:paraId="1A965116" w14:textId="77777777" w:rsidR="00D870D8" w:rsidRDefault="00D870D8">
            <w:pPr>
              <w:jc w:val="both"/>
              <w:rPr>
                <w:sz w:val="22"/>
                <w:szCs w:val="22"/>
              </w:rPr>
            </w:pPr>
          </w:p>
        </w:tc>
      </w:tr>
      <w:tr w:rsidR="00D870D8" w14:paraId="39C67619" w14:textId="77777777" w:rsidTr="00451EEC">
        <w:trPr>
          <w:trHeight w:val="273"/>
        </w:trPr>
        <w:tc>
          <w:tcPr>
            <w:tcW w:w="2687" w:type="dxa"/>
            <w:shd w:val="clear" w:color="auto" w:fill="auto"/>
          </w:tcPr>
          <w:p w14:paraId="280205D2" w14:textId="77777777" w:rsidR="00D870D8" w:rsidRDefault="00647D12">
            <w:pPr>
              <w:jc w:val="both"/>
              <w:rPr>
                <w:b/>
                <w:sz w:val="22"/>
                <w:szCs w:val="22"/>
              </w:rPr>
            </w:pPr>
            <w:r>
              <w:rPr>
                <w:b/>
                <w:sz w:val="22"/>
                <w:szCs w:val="22"/>
              </w:rPr>
              <w:t>Contents Insurance</w:t>
            </w:r>
          </w:p>
        </w:tc>
        <w:tc>
          <w:tcPr>
            <w:tcW w:w="6323" w:type="dxa"/>
            <w:shd w:val="clear" w:color="auto" w:fill="auto"/>
          </w:tcPr>
          <w:p w14:paraId="259A140A" w14:textId="77777777" w:rsidR="00D870D8" w:rsidRDefault="00647D12">
            <w:pPr>
              <w:jc w:val="both"/>
              <w:rPr>
                <w:sz w:val="22"/>
                <w:szCs w:val="22"/>
              </w:rPr>
            </w:pPr>
            <w:r>
              <w:rPr>
                <w:sz w:val="22"/>
                <w:szCs w:val="22"/>
              </w:rPr>
              <w:t xml:space="preserve">Our insurance policy provides cover for client’s personal belongings up to the maximum value of £1000.00 for each claim </w:t>
            </w:r>
            <w:proofErr w:type="gramStart"/>
            <w:r>
              <w:rPr>
                <w:sz w:val="22"/>
                <w:szCs w:val="22"/>
              </w:rPr>
              <w:t>with the exception of</w:t>
            </w:r>
            <w:proofErr w:type="gramEnd"/>
            <w:r>
              <w:rPr>
                <w:sz w:val="22"/>
                <w:szCs w:val="22"/>
              </w:rPr>
              <w:t xml:space="preserve"> cash.  The policy carries a £50 excess payable by you for each claim made under the policy.  If personal belongings of greater value are kept in the Home, they should be covered by your own insurance. </w:t>
            </w:r>
          </w:p>
          <w:p w14:paraId="7DF4E37C" w14:textId="77777777" w:rsidR="00D870D8" w:rsidRDefault="00D870D8">
            <w:pPr>
              <w:jc w:val="both"/>
              <w:rPr>
                <w:sz w:val="22"/>
                <w:szCs w:val="22"/>
              </w:rPr>
            </w:pPr>
          </w:p>
          <w:p w14:paraId="255A0FE0" w14:textId="77777777" w:rsidR="00D870D8" w:rsidRDefault="00647D12">
            <w:pPr>
              <w:jc w:val="both"/>
              <w:rPr>
                <w:sz w:val="22"/>
                <w:szCs w:val="22"/>
              </w:rPr>
            </w:pPr>
            <w:r>
              <w:rPr>
                <w:sz w:val="22"/>
                <w:szCs w:val="22"/>
              </w:rPr>
              <w:t xml:space="preserve">High risk items such as dentures/hearing aids/spectacles/jewellery and cash are not covered by our insurance.  </w:t>
            </w:r>
          </w:p>
          <w:p w14:paraId="44FB30F8" w14:textId="77777777" w:rsidR="00D870D8" w:rsidRDefault="00D870D8">
            <w:pPr>
              <w:jc w:val="both"/>
              <w:rPr>
                <w:sz w:val="22"/>
                <w:szCs w:val="22"/>
              </w:rPr>
            </w:pPr>
          </w:p>
        </w:tc>
      </w:tr>
      <w:tr w:rsidR="00D870D8" w14:paraId="5AD14E8A" w14:textId="77777777" w:rsidTr="00451EEC">
        <w:trPr>
          <w:trHeight w:val="273"/>
        </w:trPr>
        <w:tc>
          <w:tcPr>
            <w:tcW w:w="2687" w:type="dxa"/>
            <w:shd w:val="clear" w:color="auto" w:fill="auto"/>
          </w:tcPr>
          <w:p w14:paraId="0E124F1D" w14:textId="77777777" w:rsidR="00D870D8" w:rsidRDefault="00647D12">
            <w:pPr>
              <w:jc w:val="both"/>
              <w:rPr>
                <w:b/>
                <w:sz w:val="22"/>
                <w:szCs w:val="22"/>
              </w:rPr>
            </w:pPr>
            <w:r>
              <w:rPr>
                <w:b/>
                <w:sz w:val="22"/>
                <w:szCs w:val="22"/>
              </w:rPr>
              <w:t>Pets</w:t>
            </w:r>
          </w:p>
        </w:tc>
        <w:tc>
          <w:tcPr>
            <w:tcW w:w="6323" w:type="dxa"/>
            <w:shd w:val="clear" w:color="auto" w:fill="auto"/>
          </w:tcPr>
          <w:p w14:paraId="353DC2CA" w14:textId="77777777" w:rsidR="00D870D8" w:rsidRDefault="00647D12">
            <w:pPr>
              <w:jc w:val="both"/>
              <w:rPr>
                <w:sz w:val="22"/>
                <w:szCs w:val="22"/>
              </w:rPr>
            </w:pPr>
            <w:r>
              <w:rPr>
                <w:sz w:val="22"/>
                <w:szCs w:val="22"/>
              </w:rPr>
              <w:t>We are afraid that we are not able to accommodate your pets but will attempt to facilitate visits.  Please discuss with the Manager.</w:t>
            </w:r>
          </w:p>
          <w:p w14:paraId="1DA6542E" w14:textId="77777777" w:rsidR="00D870D8" w:rsidRDefault="00D870D8">
            <w:pPr>
              <w:jc w:val="both"/>
              <w:rPr>
                <w:sz w:val="22"/>
                <w:szCs w:val="22"/>
              </w:rPr>
            </w:pPr>
          </w:p>
        </w:tc>
      </w:tr>
      <w:tr w:rsidR="00D870D8" w14:paraId="78753B86" w14:textId="77777777" w:rsidTr="00451EEC">
        <w:trPr>
          <w:trHeight w:val="273"/>
        </w:trPr>
        <w:tc>
          <w:tcPr>
            <w:tcW w:w="2687" w:type="dxa"/>
            <w:shd w:val="clear" w:color="auto" w:fill="auto"/>
          </w:tcPr>
          <w:p w14:paraId="01384400" w14:textId="77777777" w:rsidR="00D870D8" w:rsidRDefault="00647D12">
            <w:pPr>
              <w:rPr>
                <w:b/>
                <w:sz w:val="22"/>
                <w:szCs w:val="22"/>
              </w:rPr>
            </w:pPr>
            <w:r>
              <w:rPr>
                <w:b/>
                <w:sz w:val="22"/>
                <w:szCs w:val="22"/>
              </w:rPr>
              <w:t>Meeting Client’s Preferences</w:t>
            </w:r>
          </w:p>
        </w:tc>
        <w:tc>
          <w:tcPr>
            <w:tcW w:w="6323" w:type="dxa"/>
            <w:shd w:val="clear" w:color="auto" w:fill="auto"/>
          </w:tcPr>
          <w:p w14:paraId="226F2A63" w14:textId="77777777" w:rsidR="00D870D8" w:rsidRDefault="00647D12">
            <w:pPr>
              <w:jc w:val="both"/>
              <w:rPr>
                <w:sz w:val="22"/>
                <w:szCs w:val="22"/>
              </w:rPr>
            </w:pPr>
            <w:r>
              <w:rPr>
                <w:sz w:val="22"/>
                <w:szCs w:val="22"/>
              </w:rPr>
              <w:t xml:space="preserve">We use all reasonable endeavours to meet your personal preferences.  If you prefer to receive care from a male or female carer, we will wherever possible accommodate this request.  </w:t>
            </w:r>
          </w:p>
          <w:p w14:paraId="3041E394" w14:textId="77777777" w:rsidR="00D870D8" w:rsidRDefault="00D870D8">
            <w:pPr>
              <w:jc w:val="both"/>
              <w:rPr>
                <w:sz w:val="22"/>
                <w:szCs w:val="22"/>
              </w:rPr>
            </w:pPr>
          </w:p>
          <w:p w14:paraId="648B80C1" w14:textId="77777777" w:rsidR="00D870D8" w:rsidRDefault="00647D12">
            <w:pPr>
              <w:jc w:val="both"/>
              <w:rPr>
                <w:sz w:val="22"/>
                <w:szCs w:val="22"/>
              </w:rPr>
            </w:pPr>
            <w:r>
              <w:rPr>
                <w:sz w:val="22"/>
                <w:szCs w:val="22"/>
              </w:rPr>
              <w:t xml:space="preserve">We will discuss with you any specific dietary and religious requirements </w:t>
            </w:r>
            <w:proofErr w:type="gramStart"/>
            <w:r>
              <w:rPr>
                <w:sz w:val="22"/>
                <w:szCs w:val="22"/>
              </w:rPr>
              <w:t>in order for</w:t>
            </w:r>
            <w:proofErr w:type="gramEnd"/>
            <w:r>
              <w:rPr>
                <w:sz w:val="22"/>
                <w:szCs w:val="22"/>
              </w:rPr>
              <w:t xml:space="preserve"> us to meet these.  If we are unable to meet your preferences/needs we will explain clearly the reasons as to why, before you move into the Home.</w:t>
            </w:r>
          </w:p>
          <w:p w14:paraId="722B00AE" w14:textId="77777777" w:rsidR="00D870D8" w:rsidRDefault="00D870D8">
            <w:pPr>
              <w:jc w:val="both"/>
              <w:rPr>
                <w:sz w:val="22"/>
                <w:szCs w:val="22"/>
              </w:rPr>
            </w:pPr>
          </w:p>
        </w:tc>
      </w:tr>
      <w:tr w:rsidR="00D870D8" w14:paraId="68422E55" w14:textId="77777777" w:rsidTr="00451EEC">
        <w:trPr>
          <w:trHeight w:val="273"/>
        </w:trPr>
        <w:tc>
          <w:tcPr>
            <w:tcW w:w="2687" w:type="dxa"/>
            <w:shd w:val="clear" w:color="auto" w:fill="auto"/>
          </w:tcPr>
          <w:p w14:paraId="30A89158" w14:textId="77777777" w:rsidR="00D870D8" w:rsidRDefault="00647D12">
            <w:pPr>
              <w:jc w:val="both"/>
              <w:rPr>
                <w:b/>
                <w:sz w:val="22"/>
                <w:szCs w:val="22"/>
              </w:rPr>
            </w:pPr>
            <w:r>
              <w:rPr>
                <w:b/>
                <w:sz w:val="22"/>
                <w:szCs w:val="22"/>
              </w:rPr>
              <w:t>Terms and Conditions</w:t>
            </w:r>
          </w:p>
        </w:tc>
        <w:tc>
          <w:tcPr>
            <w:tcW w:w="6323" w:type="dxa"/>
            <w:shd w:val="clear" w:color="auto" w:fill="auto"/>
          </w:tcPr>
          <w:p w14:paraId="4CF731CE" w14:textId="77777777" w:rsidR="00D870D8" w:rsidRDefault="00647D12">
            <w:pPr>
              <w:jc w:val="both"/>
              <w:rPr>
                <w:sz w:val="22"/>
                <w:szCs w:val="22"/>
              </w:rPr>
            </w:pPr>
            <w:r>
              <w:rPr>
                <w:sz w:val="22"/>
                <w:szCs w:val="22"/>
              </w:rPr>
              <w:t>Copies of our full Terms and Conditions can be found in our Information Pack, on our website and at reception.  Please ask the Manager or reception if you require a copy.</w:t>
            </w:r>
          </w:p>
          <w:p w14:paraId="42C6D796" w14:textId="77777777" w:rsidR="00D870D8" w:rsidRDefault="00D870D8">
            <w:pPr>
              <w:jc w:val="both"/>
              <w:rPr>
                <w:sz w:val="22"/>
                <w:szCs w:val="22"/>
              </w:rPr>
            </w:pPr>
          </w:p>
        </w:tc>
      </w:tr>
      <w:tr w:rsidR="00D870D8" w14:paraId="62582EDB" w14:textId="77777777" w:rsidTr="00451EEC">
        <w:trPr>
          <w:trHeight w:val="273"/>
        </w:trPr>
        <w:tc>
          <w:tcPr>
            <w:tcW w:w="2687" w:type="dxa"/>
            <w:shd w:val="clear" w:color="auto" w:fill="auto"/>
          </w:tcPr>
          <w:p w14:paraId="2428B0D1" w14:textId="77777777" w:rsidR="00D870D8" w:rsidRDefault="00647D12">
            <w:pPr>
              <w:jc w:val="both"/>
              <w:rPr>
                <w:b/>
                <w:sz w:val="22"/>
                <w:szCs w:val="22"/>
              </w:rPr>
            </w:pPr>
            <w:r>
              <w:rPr>
                <w:b/>
                <w:sz w:val="22"/>
                <w:szCs w:val="22"/>
              </w:rPr>
              <w:t>Consumer Regulations</w:t>
            </w:r>
          </w:p>
        </w:tc>
        <w:tc>
          <w:tcPr>
            <w:tcW w:w="6323" w:type="dxa"/>
            <w:shd w:val="clear" w:color="auto" w:fill="auto"/>
          </w:tcPr>
          <w:p w14:paraId="498D5066" w14:textId="77777777" w:rsidR="00D870D8" w:rsidRDefault="00647D12">
            <w:pPr>
              <w:jc w:val="both"/>
              <w:rPr>
                <w:sz w:val="22"/>
                <w:szCs w:val="22"/>
              </w:rPr>
            </w:pPr>
            <w:r>
              <w:rPr>
                <w:sz w:val="22"/>
                <w:szCs w:val="22"/>
              </w:rPr>
              <w:t>If you are not present when the Agreement is entered into or if the Agreement is entered in away from the Home, you are permitted to terminate the Agreement within 14 days without any penalty to you.  If you have moved into the Home during this period and have therefore asked us to start delivering a service to you, we will be able to charge you for the service that has been provided.   Full details are set out in the Terms and Conditions clause 23.9.</w:t>
            </w:r>
          </w:p>
        </w:tc>
      </w:tr>
    </w:tbl>
    <w:p w14:paraId="6E1831B3" w14:textId="77777777" w:rsidR="00D870D8" w:rsidRDefault="00D870D8">
      <w:pPr>
        <w:jc w:val="center"/>
      </w:pPr>
    </w:p>
    <w:sectPr w:rsidR="00D870D8">
      <w:headerReference w:type="default" r:id="rId11"/>
      <w:footerReference w:type="default" r:id="rId12"/>
      <w:type w:val="continuous"/>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A11B" w14:textId="77777777" w:rsidR="00D27418" w:rsidRDefault="00647D12">
      <w:r>
        <w:separator/>
      </w:r>
    </w:p>
  </w:endnote>
  <w:endnote w:type="continuationSeparator" w:id="0">
    <w:p w14:paraId="14A4D59A" w14:textId="77777777" w:rsidR="00D27418" w:rsidRDefault="0064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Helvetica;sans-s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2112"/>
      <w:docPartObj>
        <w:docPartGallery w:val="Page Numbers (Bottom of Page)"/>
        <w:docPartUnique/>
      </w:docPartObj>
    </w:sdtPr>
    <w:sdtEndPr/>
    <w:sdtContent>
      <w:p w14:paraId="253FD184" w14:textId="77777777" w:rsidR="00D870D8" w:rsidRDefault="00647D12">
        <w:pPr>
          <w:pStyle w:val="Foo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sdtContent>
  </w:sdt>
  <w:p w14:paraId="5A00B2D6" w14:textId="77777777" w:rsidR="00D870D8" w:rsidRDefault="00647D12">
    <w:pPr>
      <w:pStyle w:val="Footer"/>
      <w:rPr>
        <w:color w:val="0070C0"/>
        <w:sz w:val="20"/>
        <w:szCs w:val="20"/>
      </w:rPr>
    </w:pPr>
    <w:r>
      <w:rPr>
        <w:rFonts w:ascii="Symbol" w:eastAsia="Symbol" w:hAnsi="Symbol" w:cs="Symbol"/>
        <w:color w:val="0070C0"/>
        <w:sz w:val="20"/>
        <w:szCs w:val="20"/>
      </w:rPr>
      <w:t></w:t>
    </w:r>
    <w:r>
      <w:rPr>
        <w:color w:val="0070C0"/>
        <w:sz w:val="20"/>
        <w:szCs w:val="20"/>
      </w:rPr>
      <w:t>david collins solicitors</w:t>
    </w:r>
    <w:r>
      <w:rPr>
        <w:color w:val="0070C0"/>
        <w:sz w:val="20"/>
        <w:szCs w:val="20"/>
      </w:rPr>
      <w:tab/>
    </w:r>
    <w:r>
      <w:rPr>
        <w:color w:val="0070C0"/>
        <w:sz w:val="20"/>
        <w:szCs w:val="20"/>
      </w:rPr>
      <w:tab/>
      <w:t>T&amp;C’s Key Information Fact Sheet v7 Oct 2019</w:t>
    </w:r>
  </w:p>
  <w:p w14:paraId="31126E5D" w14:textId="77777777" w:rsidR="00D870D8" w:rsidRDefault="00D870D8">
    <w:pPr>
      <w:pStyle w:val="Footer"/>
      <w:rPr>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6AF3" w14:textId="77777777" w:rsidR="00D27418" w:rsidRDefault="00647D12">
      <w:r>
        <w:separator/>
      </w:r>
    </w:p>
  </w:footnote>
  <w:footnote w:type="continuationSeparator" w:id="0">
    <w:p w14:paraId="183E4635" w14:textId="77777777" w:rsidR="00D27418" w:rsidRDefault="0064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230D" w14:textId="77777777" w:rsidR="00D870D8" w:rsidRDefault="00647D12">
    <w:pPr>
      <w:jc w:val="center"/>
      <w:rPr>
        <w:b/>
        <w:u w:val="single"/>
      </w:rPr>
    </w:pPr>
    <w:r>
      <w:rPr>
        <w:b/>
        <w:u w:val="single"/>
      </w:rPr>
      <w:t>FURTHER INFORMATION FACT SHEET</w:t>
    </w:r>
  </w:p>
  <w:p w14:paraId="54E11D2A" w14:textId="77777777" w:rsidR="00D870D8" w:rsidRDefault="00D8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ED1"/>
    <w:multiLevelType w:val="multilevel"/>
    <w:tmpl w:val="2092D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0A5B3C"/>
    <w:multiLevelType w:val="multilevel"/>
    <w:tmpl w:val="B994E41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B46CAC"/>
    <w:rsid w:val="00104202"/>
    <w:rsid w:val="00275126"/>
    <w:rsid w:val="00451EEC"/>
    <w:rsid w:val="00647D12"/>
    <w:rsid w:val="00D27418"/>
    <w:rsid w:val="00D61007"/>
    <w:rsid w:val="00D870D8"/>
    <w:rsid w:val="34B46C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A064"/>
  <w15:docId w15:val="{F59FC215-7894-4C21-B14B-55EE4F7A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801FE"/>
  </w:style>
  <w:style w:type="character" w:customStyle="1" w:styleId="FooterChar">
    <w:name w:val="Footer Char"/>
    <w:basedOn w:val="DefaultParagraphFont"/>
    <w:link w:val="Footer"/>
    <w:uiPriority w:val="99"/>
    <w:qFormat/>
    <w:rsid w:val="000801FE"/>
  </w:style>
  <w:style w:type="character" w:styleId="PageNumber">
    <w:name w:val="page number"/>
    <w:basedOn w:val="DefaultParagraphFont"/>
    <w:uiPriority w:val="99"/>
    <w:semiHidden/>
    <w:unhideWhenUsed/>
    <w:qFormat/>
    <w:rsid w:val="00DB22FF"/>
  </w:style>
  <w:style w:type="character" w:customStyle="1" w:styleId="InternetLink">
    <w:name w:val="Internet Link"/>
    <w:basedOn w:val="DefaultParagraphFont"/>
    <w:uiPriority w:val="99"/>
    <w:unhideWhenUsed/>
    <w:rsid w:val="007C593A"/>
    <w:rPr>
      <w:color w:val="0563C1" w:themeColor="hyperlink"/>
      <w:u w:val="single"/>
    </w:rPr>
  </w:style>
  <w:style w:type="character" w:customStyle="1" w:styleId="UnresolvedMention1">
    <w:name w:val="Unresolved Mention1"/>
    <w:basedOn w:val="DefaultParagraphFont"/>
    <w:uiPriority w:val="99"/>
    <w:semiHidden/>
    <w:unhideWhenUsed/>
    <w:qFormat/>
    <w:rsid w:val="007C593A"/>
    <w:rPr>
      <w:color w:val="605E5C"/>
      <w:shd w:val="clear" w:color="auto" w:fill="E1DFDD"/>
    </w:rPr>
  </w:style>
  <w:style w:type="character" w:styleId="Strong">
    <w:name w:val="Strong"/>
    <w:basedOn w:val="DefaultParagraphFont"/>
    <w:uiPriority w:val="22"/>
    <w:qFormat/>
    <w:rsid w:val="007C593A"/>
    <w:rPr>
      <w:b/>
      <w:bCs/>
    </w:rPr>
  </w:style>
  <w:style w:type="character" w:customStyle="1" w:styleId="BalloonTextChar">
    <w:name w:val="Balloon Text Char"/>
    <w:basedOn w:val="DefaultParagraphFont"/>
    <w:link w:val="BalloonText"/>
    <w:uiPriority w:val="99"/>
    <w:semiHidden/>
    <w:qFormat/>
    <w:rsid w:val="00DE5EF1"/>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133319"/>
    <w:pPr>
      <w:spacing w:beforeAutospacing="1" w:afterAutospacing="1"/>
    </w:pPr>
    <w:rPr>
      <w:rFonts w:ascii="Times New Roman" w:eastAsia="Times New Roman" w:hAnsi="Times New Roman"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801FE"/>
    <w:pPr>
      <w:tabs>
        <w:tab w:val="center" w:pos="4680"/>
        <w:tab w:val="right" w:pos="9360"/>
      </w:tabs>
    </w:pPr>
  </w:style>
  <w:style w:type="paragraph" w:styleId="Footer">
    <w:name w:val="footer"/>
    <w:basedOn w:val="Normal"/>
    <w:link w:val="FooterChar"/>
    <w:uiPriority w:val="99"/>
    <w:unhideWhenUsed/>
    <w:rsid w:val="000801FE"/>
    <w:pPr>
      <w:tabs>
        <w:tab w:val="center" w:pos="4680"/>
        <w:tab w:val="right" w:pos="9360"/>
      </w:tabs>
    </w:pPr>
  </w:style>
  <w:style w:type="paragraph" w:styleId="ListParagraph">
    <w:name w:val="List Paragraph"/>
    <w:basedOn w:val="Normal"/>
    <w:uiPriority w:val="34"/>
    <w:qFormat/>
    <w:rsid w:val="005A7C53"/>
    <w:pPr>
      <w:ind w:left="720"/>
      <w:contextualSpacing/>
    </w:pPr>
  </w:style>
  <w:style w:type="paragraph" w:styleId="BalloonText">
    <w:name w:val="Balloon Text"/>
    <w:basedOn w:val="Normal"/>
    <w:link w:val="BalloonTextChar"/>
    <w:uiPriority w:val="99"/>
    <w:semiHidden/>
    <w:unhideWhenUsed/>
    <w:qFormat/>
    <w:rsid w:val="00DE5EF1"/>
    <w:rPr>
      <w:rFonts w:ascii="Times New Roman" w:hAnsi="Times New Roman" w:cs="Times New Roman"/>
      <w:sz w:val="18"/>
      <w:szCs w:val="18"/>
    </w:rPr>
  </w:style>
  <w:style w:type="paragraph" w:styleId="Revision">
    <w:name w:val="Revision"/>
    <w:uiPriority w:val="99"/>
    <w:semiHidden/>
    <w:qFormat/>
    <w:rsid w:val="00DE5EF1"/>
    <w:rPr>
      <w:sz w:val="24"/>
    </w:rPr>
  </w:style>
  <w:style w:type="table" w:styleId="TableGrid">
    <w:name w:val="Table Grid"/>
    <w:basedOn w:val="TableNormal"/>
    <w:uiPriority w:val="39"/>
    <w:rsid w:val="009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1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go.org.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DAA411585DE418680AD8A29CE3363" ma:contentTypeVersion="17" ma:contentTypeDescription="Create a new document." ma:contentTypeScope="" ma:versionID="92898f9c89c1b567c4ecc5b44c59a6f8">
  <xsd:schema xmlns:xsd="http://www.w3.org/2001/XMLSchema" xmlns:xs="http://www.w3.org/2001/XMLSchema" xmlns:p="http://schemas.microsoft.com/office/2006/metadata/properties" xmlns:ns2="60ee07a0-b25f-419c-994e-8d43fa93fbe8" xmlns:ns3="a07d0c18-306d-4014-a594-82b04400218f" targetNamespace="http://schemas.microsoft.com/office/2006/metadata/properties" ma:root="true" ma:fieldsID="2bc9caf23c7e3a56de09605af11c1e88" ns2:_="" ns3:_="">
    <xsd:import namespace="60ee07a0-b25f-419c-994e-8d43fa93fbe8"/>
    <xsd:import namespace="a07d0c18-306d-4014-a594-82b044002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e07a0-b25f-419c-994e-8d43fa93f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0c18-306d-4014-a594-82b044002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a07d0c18-306d-4014-a594-82b04400218f" xsi:nil="true"/>
    <MigrationWizIdPermissions xmlns="a07d0c18-306d-4014-a594-82b04400218f" xsi:nil="true"/>
    <MigrationWizIdDocumentLibraryPermissions xmlns="a07d0c18-306d-4014-a594-82b04400218f" xsi:nil="true"/>
    <MigrationWizIdPermissionLevels xmlns="a07d0c18-306d-4014-a594-82b04400218f" xsi:nil="true"/>
    <MigrationWizId xmlns="a07d0c18-306d-4014-a594-82b04400218f" xsi:nil="true"/>
  </documentManagement>
</p:properties>
</file>

<file path=customXml/itemProps1.xml><?xml version="1.0" encoding="utf-8"?>
<ds:datastoreItem xmlns:ds="http://schemas.openxmlformats.org/officeDocument/2006/customXml" ds:itemID="{F8DCC663-4E51-4E41-9C50-0C9D5E7E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e07a0-b25f-419c-994e-8d43fa93fbe8"/>
    <ds:schemaRef ds:uri="a07d0c18-306d-4014-a594-82b04400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3CCA-B862-444E-92B5-96056AA02672}">
  <ds:schemaRefs>
    <ds:schemaRef ds:uri="http://schemas.microsoft.com/sharepoint/v3/contenttype/forms"/>
  </ds:schemaRefs>
</ds:datastoreItem>
</file>

<file path=customXml/itemProps3.xml><?xml version="1.0" encoding="utf-8"?>
<ds:datastoreItem xmlns:ds="http://schemas.openxmlformats.org/officeDocument/2006/customXml" ds:itemID="{FAADAB56-3A34-440E-A861-650FE10441AB}">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07d0c18-306d-4014-a594-82b04400218f"/>
    <ds:schemaRef ds:uri="60ee07a0-b25f-419c-994e-8d43fa93fb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Keely Robinson</cp:lastModifiedBy>
  <cp:revision>11</cp:revision>
  <dcterms:created xsi:type="dcterms:W3CDTF">2019-11-19T06:20:00Z</dcterms:created>
  <dcterms:modified xsi:type="dcterms:W3CDTF">2021-01-26T09:15:00Z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0x010100985DAA411585DE418680AD8A29CE3363</vt:lpwstr>
  </property>
</Properties>
</file>